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jc w:val="center"/>
      </w:pPr>
      <w:r>
        <w:drawing>
          <wp:inline distT="0" distB="0" distL="0" distR="0">
            <wp:extent cx="34290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647700"/>
                    </a:xfrm>
                    <a:prstGeom prst="rect">
                      <a:avLst/>
                    </a:prstGeom>
                  </pic:spPr>
                </pic:pic>
              </a:graphicData>
            </a:graphic>
          </wp:inline>
        </w:drawing>
      </w:r>
    </w:p>
    <w:p>
      <w:pPr>
        <w:spacing w:before="1400"/>
        <w:jc w:val="center"/>
      </w:pPr>
      <w:r>
        <w:rPr>
          <w:rFonts w:ascii="Arial" w:cs="Arial" w:eastAsia="Arial" w:hAnsi="Arial"/>
          <w:b/>
          <w:bCs/>
          <w:color w:val="1B2D5C"/>
          <w:sz w:val="28"/>
          <w:szCs w:val="28"/>
        </w:rPr>
        <w:t xml:space="preserve">INDUSTRY GUIDE</w:t>
      </w:r>
    </w:p>
    <w:p>
      <w:pPr>
        <w:spacing w:before="200"/>
        <w:jc w:val="center"/>
      </w:pPr>
      <w:r>
        <w:rPr>
          <w:rFonts w:ascii="Arial" w:cs="Arial" w:eastAsia="Arial" w:hAnsi="Arial"/>
          <w:b/>
          <w:bCs/>
          <w:color w:val="7B1538"/>
          <w:sz w:val="52"/>
          <w:szCs w:val="52"/>
        </w:rPr>
        <w:t xml:space="preserve">Income Averaging for Musicians</w:t>
      </w:r>
    </w:p>
    <w:p>
      <w:pPr>
        <w:spacing w:before="280"/>
        <w:jc w:val="center"/>
      </w:pPr>
      <w:r>
        <w:rPr>
          <w:rFonts w:ascii="Arial" w:cs="Arial" w:eastAsia="Arial" w:hAnsi="Arial"/>
          <w:b/>
          <w:bCs/>
          <w:color w:val="595959"/>
          <w:sz w:val="26"/>
          <w:szCs w:val="26"/>
        </w:rPr>
        <w:t xml:space="preserve">Applying Division 405 of the Income Tax Assessment Act 1997</w:t>
      </w:r>
    </w:p>
    <w:p>
      <w:pPr>
        <w:spacing w:before="60"/>
        <w:jc w:val="center"/>
      </w:pPr>
      <w:r>
        <w:rPr>
          <w:rFonts w:ascii="Arial" w:cs="Arial" w:eastAsia="Arial" w:hAnsi="Arial"/>
          <w:b/>
          <w:bCs/>
          <w:color w:val="595959"/>
          <w:sz w:val="26"/>
          <w:szCs w:val="26"/>
        </w:rPr>
        <w:t xml:space="preserve">to Performers, Composers, and Recording Artists</w:t>
      </w:r>
    </w:p>
    <w:p>
      <w:pPr>
        <w:spacing w:before="600"/>
        <w:jc w:val="center"/>
      </w:pPr>
      <w:r>
        <w:rPr>
          <w:i/>
          <w:iCs/>
          <w:color w:val="404040"/>
          <w:sz w:val="26"/>
          <w:szCs w:val="26"/>
        </w:rPr>
        <w:t xml:space="preserve">A Practical Companion Guide</w:t>
      </w:r>
    </w:p>
    <w:p>
      <w:pPr>
        <w:spacing w:before="80"/>
        <w:jc w:val="center"/>
      </w:pPr>
      <w:r>
        <w:rPr>
          <w:i/>
          <w:iCs/>
          <w:color w:val="404040"/>
          <w:sz w:val="26"/>
          <w:szCs w:val="26"/>
        </w:rPr>
        <w:t xml:space="preserve">for Accountants Serving Music Industry Clients</w:t>
      </w:r>
    </w:p>
    <w:p>
      <w:pPr>
        <w:spacing w:before="1000"/>
        <w:jc w:val="center"/>
      </w:pPr>
      <w:r>
        <w:rPr>
          <w:color w:val="595959"/>
          <w:sz w:val="22"/>
          <w:szCs w:val="22"/>
        </w:rPr>
        <w:t xml:space="preserve">Specialised Application  |  Worked Examples  |  Industry Reviewer Checklists</w:t>
      </w:r>
    </w:p>
    <w:p>
      <w:pPr>
        <w:spacing w:before="600"/>
        <w:jc w:val="center"/>
      </w:pPr>
      <w:r>
        <w:rPr>
          <w:b/>
          <w:bCs/>
          <w:color w:val="7B1538"/>
          <w:sz w:val="22"/>
          <w:szCs w:val="22"/>
        </w:rPr>
        <w:t xml:space="preserve">Carisma Solutions Confidential</w:t>
      </w:r>
    </w:p>
    <w:p>
      <w:pPr>
        <w:spacing w:before="600"/>
      </w:pPr>
      <w: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Document Element</w:t>
            </w:r>
          </w:p>
        </w:tc>
        <w:tc>
          <w:tcPr>
            <w:tcW w:type="dxa" w:w="624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Detail</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Document title</w:t>
            </w:r>
          </w:p>
        </w:tc>
        <w:tc>
          <w:tcPr>
            <w:tcW w:type="dxa" w:w="624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Income Averaging for Musicians: A Practical Companion Guide</w:t>
            </w:r>
          </w:p>
        </w:tc>
      </w:tr>
      <w:tr>
        <w:tc>
          <w:tcPr>
            <w:tcW w:type="dxa" w:w="312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Audience</w:t>
            </w:r>
          </w:p>
        </w:tc>
        <w:tc>
          <w:tcPr>
            <w:tcW w:type="dxa" w:w="624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Accountants and reviewers handling musician, performer, or composer clients</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Relationship</w:t>
            </w:r>
          </w:p>
        </w:tc>
        <w:tc>
          <w:tcPr>
            <w:tcW w:type="dxa" w:w="624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Companion to the master Income Averaging Training Manual</w:t>
            </w:r>
          </w:p>
        </w:tc>
      </w:tr>
      <w:tr>
        <w:tc>
          <w:tcPr>
            <w:tcW w:type="dxa" w:w="312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Source legislation</w:t>
            </w:r>
          </w:p>
        </w:tc>
        <w:tc>
          <w:tcPr>
            <w:tcW w:type="dxa" w:w="624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Income Tax Assessment Act 1997: Division 405 (Subdivisions 405-A to 405-E)</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Regulator</w:t>
            </w:r>
          </w:p>
        </w:tc>
        <w:tc>
          <w:tcPr>
            <w:tcW w:type="dxa" w:w="624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Australian Taxation Office (ATO)</w:t>
            </w:r>
          </w:p>
        </w:tc>
      </w:tr>
      <w:tr>
        <w:tc>
          <w:tcPr>
            <w:tcW w:type="dxa" w:w="312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Industry data</w:t>
            </w:r>
          </w:p>
        </w:tc>
        <w:tc>
          <w:tcPr>
            <w:tcW w:type="dxa" w:w="624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APRA AMCOS, PPCA, ARIA, Live Performance Australia</w:t>
            </w:r>
          </w:p>
        </w:tc>
      </w:tr>
      <w:tr>
        <w:tc>
          <w:tcPr>
            <w:tcW w:type="dxa" w:w="312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Version</w:t>
            </w:r>
          </w:p>
        </w:tc>
        <w:tc>
          <w:tcPr>
            <w:tcW w:type="dxa" w:w="624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1.0</w:t>
            </w:r>
          </w:p>
        </w:tc>
      </w:tr>
    </w:tbl>
    <w:p>
      <w:pPr>
        <w:pStyle w:val="Heading1"/>
        <w:pageBreakBefore/>
        <w:spacing w:after="180" w:before="360"/>
      </w:pPr>
      <w:r>
        <w:rPr>
          <w:rFonts w:ascii="Arial" w:cs="Arial" w:eastAsia="Arial" w:hAnsi="Arial"/>
          <w:b/>
          <w:bCs/>
          <w:color w:val="7B1538"/>
          <w:sz w:val="36"/>
          <w:szCs w:val="36"/>
        </w:rPr>
        <w:t xml:space="preserve">Contents</w:t>
      </w:r>
    </w:p>
    <w:p>
      <w:pPr>
        <w:spacing w:after="60" w:before="60" w:line="300"/>
        <w:jc w:val="both"/>
      </w:pPr>
      <w:r>
        <w:rPr>
          <w:b w:val="false"/>
          <w:bCs w:val="false"/>
          <w:i w:val="false"/>
          <w:iCs w:val="false"/>
          <w:color w:val="000000"/>
          <w:sz w:val="22"/>
          <w:szCs w:val="22"/>
        </w:rPr>
        <w:t xml:space="preserve">This guide is designed to be read after the master Income Averaging Training Manual. It assumes familiarity with Division 405 basics and focuses on the practical issues that arise specifically in music industry files.</w:t>
      </w:r>
    </w:p>
    <w:p>
      <w:pPr>
        <w:spacing w:after="60" w:before="60"/>
      </w:pPr>
      <w: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tblHeader/>
        </w:trPr>
        <w:tc>
          <w:tcPr>
            <w:tcW w:type="dxa" w:w="18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Section</w:t>
            </w:r>
          </w:p>
        </w:tc>
        <w:tc>
          <w:tcPr>
            <w:tcW w:type="dxa" w:w="75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Title</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1</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About this Guide</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Module 2</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The Australian Music Industry: A Practitioner Snapshot</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3</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Division 405 Eligibility for Musicians</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Module 4</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What Counts as Taxable Professional Income for a Musician</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5</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Applying the AASPI Mechanism</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Module 6</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Worked Examples: Four Realistic Scenarios</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7</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Foreign Performance Income and Tax Treaties</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Module 8</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GST, BAS and Indirect Tax Considerations</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9</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Common Errors and Edge Cases in Musician Files</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Module 10</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Processing Workflow for Musician Returns</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Module 11</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Reviewer Checklist for Musician Returns</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Appendix A</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Music Industry Glossary</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Appendix B</w:t>
            </w:r>
          </w:p>
        </w:tc>
        <w:tc>
          <w:tcPr>
            <w:tcW w:type="dxa" w:w="7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Frequently Asked Questions</w:t>
            </w:r>
          </w:p>
        </w:tc>
      </w:tr>
      <w:tr>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Appendix C</w:t>
            </w:r>
          </w:p>
        </w:tc>
        <w:tc>
          <w:tcPr>
            <w:tcW w:type="dxa" w:w="7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Quick Reference: AASPI Calculation</w:t>
            </w:r>
          </w:p>
        </w:tc>
      </w:tr>
    </w:tbl>
    <w:p>
      <w:pPr>
        <w:pStyle w:val="Heading1"/>
        <w:pageBreakBefore/>
        <w:spacing w:after="180" w:before="360"/>
      </w:pPr>
      <w:r>
        <w:rPr>
          <w:rFonts w:ascii="Arial" w:cs="Arial" w:eastAsia="Arial" w:hAnsi="Arial"/>
          <w:b/>
          <w:bCs/>
          <w:color w:val="7B1538"/>
          <w:sz w:val="36"/>
          <w:szCs w:val="36"/>
        </w:rPr>
        <w:t xml:space="preserve">Module 1: About this Guide</w:t>
      </w:r>
    </w:p>
    <w:p>
      <w:pPr>
        <w:pStyle w:val="Heading2"/>
        <w:spacing w:after="120" w:before="280"/>
      </w:pPr>
      <w:r>
        <w:rPr>
          <w:rFonts w:ascii="Arial" w:cs="Arial" w:eastAsia="Arial" w:hAnsi="Arial"/>
          <w:b/>
          <w:bCs/>
          <w:color w:val="7B1538"/>
          <w:sz w:val="28"/>
          <w:szCs w:val="28"/>
        </w:rPr>
        <w:t xml:space="preserve">1.1 Purpose</w:t>
      </w:r>
    </w:p>
    <w:p>
      <w:pPr>
        <w:spacing w:after="60" w:before="60" w:line="300"/>
        <w:jc w:val="both"/>
      </w:pPr>
      <w:r>
        <w:rPr>
          <w:b w:val="false"/>
          <w:bCs w:val="false"/>
          <w:i w:val="false"/>
          <w:iCs w:val="false"/>
          <w:color w:val="000000"/>
          <w:sz w:val="22"/>
          <w:szCs w:val="22"/>
        </w:rPr>
        <w:t xml:space="preserve">This companion guide addresses the practical application of Division 405 of the Income Tax Assessment Act 1997 (ITAA 1997) to musicians and other music industry professionals. While the master Income Averaging Training Manual covers the legislative framework and calculation mechanics in full, this guide narrows the focus to the income streams, source documents, and reviewer concerns that arise specifically when preparing tax returns for performers, composers, and recording artists.</w:t>
      </w:r>
    </w:p>
    <w:p>
      <w:pPr>
        <w:pStyle w:val="Heading2"/>
        <w:spacing w:after="120" w:before="280"/>
      </w:pPr>
      <w:r>
        <w:rPr>
          <w:rFonts w:ascii="Arial" w:cs="Arial" w:eastAsia="Arial" w:hAnsi="Arial"/>
          <w:b/>
          <w:bCs/>
          <w:color w:val="7B1538"/>
          <w:sz w:val="28"/>
          <w:szCs w:val="28"/>
        </w:rPr>
        <w:t xml:space="preserve">1.2 How to Use this Guide</w:t>
      </w:r>
    </w:p>
    <w:p>
      <w:pPr>
        <w:spacing w:after="60" w:before="60" w:line="300"/>
        <w:jc w:val="both"/>
      </w:pPr>
      <w:r>
        <w:rPr>
          <w:b w:val="false"/>
          <w:bCs w:val="false"/>
          <w:i w:val="false"/>
          <w:iCs w:val="false"/>
          <w:color w:val="000000"/>
          <w:sz w:val="22"/>
          <w:szCs w:val="22"/>
        </w:rPr>
        <w:t xml:space="preserve">Use this document in three ways. First, as onboarding reading for new staff who have been allocated a portfolio of music industry clients. Second, as a desk reference during return preparation when a question arises about a specific income stream (royalty statements, sync fees, foreign tour income). Third, as a reviewer aid when signing off on a musician file, particularly where above-average special professional income (AASPI) is being claimed in a high-income year.</w:t>
      </w:r>
    </w:p>
    <w:p>
      <w:pPr>
        <w:pStyle w:val="Heading2"/>
        <w:spacing w:after="120" w:before="280"/>
      </w:pPr>
      <w:r>
        <w:rPr>
          <w:rFonts w:ascii="Arial" w:cs="Arial" w:eastAsia="Arial" w:hAnsi="Arial"/>
          <w:b/>
          <w:bCs/>
          <w:color w:val="7B1538"/>
          <w:sz w:val="28"/>
          <w:szCs w:val="28"/>
        </w:rPr>
        <w:t xml:space="preserve">1.3 Audience</w:t>
      </w:r>
    </w:p>
    <w:p>
      <w:pPr>
        <w:pStyle w:val="ListParagraph"/>
        <w:numPr>
          <w:ilvl w:val="0"/>
          <w:numId w:val="2"/>
        </w:numPr>
        <w:spacing w:after="30" w:before="30" w:line="280"/>
      </w:pPr>
      <w:r>
        <w:rPr>
          <w:sz w:val="22"/>
          <w:szCs w:val="22"/>
        </w:rPr>
        <w:t xml:space="preserve">Junior accountants preparing returns for musician clients for the first time.</w:t>
      </w:r>
    </w:p>
    <w:p>
      <w:pPr>
        <w:pStyle w:val="ListParagraph"/>
        <w:numPr>
          <w:ilvl w:val="0"/>
          <w:numId w:val="2"/>
        </w:numPr>
        <w:spacing w:after="30" w:before="30" w:line="280"/>
      </w:pPr>
      <w:r>
        <w:rPr>
          <w:sz w:val="22"/>
          <w:szCs w:val="22"/>
        </w:rPr>
        <w:t xml:space="preserve">Senior accountants reviewing musician returns and validating AASPI claims.</w:t>
      </w:r>
    </w:p>
    <w:p>
      <w:pPr>
        <w:pStyle w:val="ListParagraph"/>
        <w:numPr>
          <w:ilvl w:val="0"/>
          <w:numId w:val="2"/>
        </w:numPr>
        <w:spacing w:after="30" w:before="30" w:line="280"/>
      </w:pPr>
      <w:r>
        <w:rPr>
          <w:sz w:val="22"/>
          <w:szCs w:val="22"/>
        </w:rPr>
        <w:t xml:space="preserve">Managers and partners with sign-off responsibility on creative-industry clients.</w:t>
      </w:r>
    </w:p>
    <w:p>
      <w:pPr>
        <w:pStyle w:val="Heading2"/>
        <w:spacing w:after="120" w:before="280"/>
      </w:pPr>
      <w:r>
        <w:rPr>
          <w:rFonts w:ascii="Arial" w:cs="Arial" w:eastAsia="Arial" w:hAnsi="Arial"/>
          <w:b/>
          <w:bCs/>
          <w:color w:val="7B1538"/>
          <w:sz w:val="28"/>
          <w:szCs w:val="28"/>
        </w:rPr>
        <w:t xml:space="preserve">1.4 What this Guide Does Not Cover</w:t>
      </w:r>
    </w:p>
    <w:p>
      <w:pPr>
        <w:spacing w:after="60" w:before="60" w:line="300"/>
        <w:jc w:val="both"/>
      </w:pPr>
      <w:r>
        <w:rPr>
          <w:b w:val="false"/>
          <w:bCs w:val="false"/>
          <w:i w:val="false"/>
          <w:iCs w:val="false"/>
          <w:color w:val="000000"/>
          <w:sz w:val="22"/>
          <w:szCs w:val="22"/>
        </w:rPr>
        <w:t xml:space="preserve">This guide assumes you understand the general averaging mechanism. It does not re-explain how the five-year average is calculated, the comparison rate methodology, the difference between Division 392 and Division 405, or the general concept of taxable professional income. For that foundational material, refer to Modules 3 through 5 of the master manual.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24"/>
              <w:bottom w:val="single" w:color="C00000" w:sz="8"/>
              <w:right w:val="single" w:color="C00000" w:sz="8"/>
            </w:tcBorders>
            <w:shd w:fill="FBE5D6" w:color="auto" w:val="clear"/>
            <w:tcMar>
              <w:top w:type="dxa" w:w="160"/>
              <w:left w:type="dxa" w:w="220"/>
              <w:bottom w:type="dxa" w:w="160"/>
              <w:right w:type="dxa" w:w="200"/>
            </w:tcMar>
          </w:tcPr>
          <w:p>
            <w:pPr>
              <w:spacing w:after="80" w:before="0"/>
            </w:pPr>
            <w:r>
              <w:rPr>
                <w:b/>
                <w:bCs/>
                <w:color w:val="C00000"/>
                <w:sz w:val="22"/>
                <w:szCs w:val="22"/>
              </w:rPr>
              <w:t xml:space="preserve">Important: Read the Master Manual First</w:t>
            </w:r>
          </w:p>
          <w:p>
            <w:pPr>
              <w:spacing w:after="40" w:before="40"/>
            </w:pPr>
            <w:r>
              <w:rPr>
                <w:sz w:val="22"/>
                <w:szCs w:val="22"/>
              </w:rPr>
              <w:t xml:space="preserve">If you have not read the master Income Averaging Training Manual end-to-end, do so before relying on this companion. The shorthand and abbreviations used here (TPI, AASPI, average TPI, special professional) are defined and motivated in the master manual.</w:t>
            </w:r>
          </w:p>
        </w:tc>
      </w:tr>
    </w:tbl>
    <w:p>
      <w:pPr>
        <w:pStyle w:val="Heading1"/>
        <w:pageBreakBefore/>
        <w:spacing w:after="180" w:before="360"/>
      </w:pPr>
      <w:r>
        <w:rPr>
          <w:rFonts w:ascii="Arial" w:cs="Arial" w:eastAsia="Arial" w:hAnsi="Arial"/>
          <w:b/>
          <w:bCs/>
          <w:color w:val="7B1538"/>
          <w:sz w:val="36"/>
          <w:szCs w:val="36"/>
        </w:rPr>
        <w:t xml:space="preserve">Module 2: The Australian Music Industry: A Practitioner Snapshot</w:t>
      </w:r>
    </w:p>
    <w:p>
      <w:pPr>
        <w:pStyle w:val="Heading2"/>
        <w:spacing w:after="120" w:before="280"/>
      </w:pPr>
      <w:r>
        <w:rPr>
          <w:rFonts w:ascii="Arial" w:cs="Arial" w:eastAsia="Arial" w:hAnsi="Arial"/>
          <w:b/>
          <w:bCs/>
          <w:color w:val="7B1538"/>
          <w:sz w:val="28"/>
          <w:szCs w:val="28"/>
        </w:rPr>
        <w:t xml:space="preserve">2.1 Why Musicians Need Income Averaging</w:t>
      </w:r>
    </w:p>
    <w:p>
      <w:pPr>
        <w:spacing w:after="60" w:before="60" w:line="300"/>
        <w:jc w:val="both"/>
      </w:pPr>
      <w:r>
        <w:rPr>
          <w:b w:val="false"/>
          <w:bCs w:val="false"/>
          <w:i w:val="false"/>
          <w:iCs w:val="false"/>
          <w:color w:val="000000"/>
          <w:sz w:val="22"/>
          <w:szCs w:val="22"/>
        </w:rPr>
        <w:t xml:space="preserve">Music careers in Australia are characterised by extreme income volatility. A working musician may earn modestly for several consecutive years (touring small venues, session work, teaching) and then receive a large one-off income event: a successful album, a sync placement in a major advertising campaign, a film score commission, an international tour, or a publishing advance. Without averaging, the entire windfall would be taxed at the top marginal rate in the year of receipt, despite reflecting work performed across many years.</w:t>
      </w:r>
    </w:p>
    <w:p>
      <w:pPr>
        <w:spacing w:after="60" w:before="60" w:line="300"/>
        <w:jc w:val="both"/>
      </w:pPr>
      <w:r>
        <w:rPr>
          <w:b w:val="false"/>
          <w:bCs w:val="false"/>
          <w:i w:val="false"/>
          <w:iCs w:val="false"/>
          <w:color w:val="000000"/>
          <w:sz w:val="22"/>
          <w:szCs w:val="22"/>
        </w:rPr>
        <w:t xml:space="preserve">Division 405 of ITAA 1997 was enacted to remedy exactly this bunching problem. It applies the above-average special professional income (AASPI) mechanism so that the spike year is taxed broadly as if the income had been earned over a longer period. For musicians who experience this income pattern, averaging is not optional planning: it is a statutory entitlement that should be applied automatically once eligibility is met.</w:t>
      </w:r>
    </w:p>
    <w:p>
      <w:pPr>
        <w:pStyle w:val="Heading2"/>
        <w:spacing w:after="120" w:before="280"/>
      </w:pPr>
      <w:r>
        <w:rPr>
          <w:rFonts w:ascii="Arial" w:cs="Arial" w:eastAsia="Arial" w:hAnsi="Arial"/>
          <w:b/>
          <w:bCs/>
          <w:color w:val="7B1538"/>
          <w:sz w:val="28"/>
          <w:szCs w:val="28"/>
        </w:rPr>
        <w:t xml:space="preserve">2.2 Typical Income Volatility Patterns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660"/>
        <w:gridCol w:w="3000"/>
      </w:tblGrid>
      <w:tr>
        <w:trPr>
          <w:tblHeader/>
        </w:trPr>
        <w:tc>
          <w:tcPr>
            <w:tcW w:type="dxa" w:w="1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Pattern</w:t>
            </w:r>
          </w:p>
        </w:tc>
        <w:tc>
          <w:tcPr>
            <w:tcW w:type="dxa" w:w="46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Description</w:t>
            </w:r>
          </w:p>
        </w:tc>
        <w:tc>
          <w:tcPr>
            <w:tcW w:type="dxa" w:w="3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Averaging Implication</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The breakthrough album</w:t>
            </w:r>
          </w:p>
        </w:tc>
        <w:tc>
          <w:tcPr>
            <w:tcW w:type="dxa" w:w="4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Modest baseline income for years, then a major release with touring, royalties, and a publishing deal in one year.</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Strong AASPI year. High value of the offset.</w:t>
            </w:r>
          </w:p>
        </w:tc>
      </w:tr>
      <w:tr>
        <w:tc>
          <w:tcPr>
            <w:tcW w:type="dxa" w:w="1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The sync windfall</w:t>
            </w:r>
          </w:p>
        </w:tc>
        <w:tc>
          <w:tcPr>
            <w:tcW w:type="dxa" w:w="4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Stable performer income disrupted by a one-off licence fee from advertising or film placement.</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May trigger AASPI if the sync fee is large relative to baseline.</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The international tour</w:t>
            </w:r>
          </w:p>
        </w:tc>
        <w:tc>
          <w:tcPr>
            <w:tcW w:type="dxa" w:w="4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Australian-based artist undertakes a multi-country tour, generating large foreign-sourced TPI in a single year.</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Foreign income forms part of TPI. Foreign income tax offset interacts with AASPI calculation.</w:t>
            </w:r>
          </w:p>
        </w:tc>
      </w:tr>
      <w:tr>
        <w:tc>
          <w:tcPr>
            <w:tcW w:type="dxa" w:w="1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The catalogue sale</w:t>
            </w:r>
          </w:p>
        </w:tc>
        <w:tc>
          <w:tcPr>
            <w:tcW w:type="dxa" w:w="4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Songwriter sells the publishing rights to their catalogue: large one-off receipt taxed as ordinary or as capital depending on facts.</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If income (not capital), it is TPI. Significant AASPI potential.</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The publishing advance</w:t>
            </w:r>
          </w:p>
        </w:tc>
        <w:tc>
          <w:tcPr>
            <w:tcW w:type="dxa" w:w="4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Artist receives a multi-year advance recouped against future royalties.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Timing question: is it income on receipt or as recouped. Affects which year it forms part of TPI.</w:t>
            </w:r>
          </w:p>
        </w:tc>
      </w:tr>
    </w:tbl>
    <w:p>
      <w:pPr>
        <w:pStyle w:val="Heading2"/>
        <w:spacing w:after="120" w:before="280"/>
      </w:pPr>
      <w:r>
        <w:rPr>
          <w:rFonts w:ascii="Arial" w:cs="Arial" w:eastAsia="Arial" w:hAnsi="Arial"/>
          <w:b/>
          <w:bCs/>
          <w:color w:val="7B1538"/>
          <w:sz w:val="28"/>
          <w:szCs w:val="28"/>
        </w:rPr>
        <w:t xml:space="preserve">2.3 The Music Industry Bodies You Will See on Source Documents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060"/>
        <w:gridCol w:w="3600"/>
      </w:tblGrid>
      <w:tr>
        <w:trPr>
          <w:tblHeader/>
        </w:trPr>
        <w:tc>
          <w:tcPr>
            <w:tcW w:type="dxa" w:w="1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Body</w:t>
            </w:r>
          </w:p>
        </w:tc>
        <w:tc>
          <w:tcPr>
            <w:tcW w:type="dxa" w:w="40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Role</w:t>
            </w:r>
          </w:p>
        </w:tc>
        <w:tc>
          <w:tcPr>
            <w:tcW w:type="dxa" w:w="36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What you receive</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APRA AMCOS</w:t>
            </w:r>
          </w:p>
        </w:tc>
        <w:tc>
          <w:tcPr>
            <w:tcW w:type="dxa" w:w="4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Collects performance and mechanical royalties on behalf of songwriters and music publishers</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Quarterly royalty statements showing distributions by use and territory</w:t>
            </w:r>
          </w:p>
        </w:tc>
      </w:tr>
      <w:tr>
        <w:tc>
          <w:tcPr>
            <w:tcW w:type="dxa" w:w="1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PPCA</w:t>
            </w:r>
          </w:p>
        </w:tc>
        <w:tc>
          <w:tcPr>
            <w:tcW w:type="dxa" w:w="4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Phonographic Performance Company of Australia: collects neighbouring rights royalties for performers and record labels</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Annual distribution statements for featured performers and labels</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ARIA</w:t>
            </w:r>
          </w:p>
        </w:tc>
        <w:tc>
          <w:tcPr>
            <w:tcW w:type="dxa" w:w="4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Industry trade body: chart, awards, certification. Not a collecting society.</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Generally no income; awards may produce taxable benefits</w:t>
            </w:r>
          </w:p>
        </w:tc>
      </w:tr>
      <w:tr>
        <w:tc>
          <w:tcPr>
            <w:tcW w:type="dxa" w:w="1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Distributors</w:t>
            </w:r>
          </w:p>
        </w:tc>
        <w:tc>
          <w:tcPr>
            <w:tcW w:type="dxa" w:w="4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Tunecore, DistroKid, CD Baby, AWAL, etc. Aggregate streaming revenue from DSPs.</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Periodic statements showing earnings per platform and per release</w:t>
            </w:r>
          </w:p>
        </w:tc>
      </w:tr>
      <w:tr>
        <w:tc>
          <w:tcPr>
            <w:tcW w:type="dxa" w:w="1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Live Performance Australia</w:t>
            </w:r>
          </w:p>
        </w:tc>
        <w:tc>
          <w:tcPr>
            <w:tcW w:type="dxa" w:w="4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Industry body for live performance sector</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 income; advocacy and data only</w:t>
            </w:r>
          </w:p>
        </w:tc>
      </w:tr>
      <w:tr>
        <w:tc>
          <w:tcPr>
            <w:tcW w:type="dxa" w:w="1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Music agents and managers</w:t>
            </w:r>
          </w:p>
        </w:tc>
        <w:tc>
          <w:tcPr>
            <w:tcW w:type="dxa" w:w="4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Negotiate engagements and take commission (typically 10 to 20 per cent)</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Invoices for commission deducted from gross fees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06000" w:sz="8"/>
              <w:left w:val="single" w:color="806000" w:sz="24"/>
              <w:bottom w:val="single" w:color="806000" w:sz="8"/>
              <w:right w:val="single" w:color="806000" w:sz="8"/>
            </w:tcBorders>
            <w:shd w:fill="FFF4CE" w:color="auto" w:val="clear"/>
            <w:tcMar>
              <w:top w:type="dxa" w:w="160"/>
              <w:left w:type="dxa" w:w="220"/>
              <w:bottom w:type="dxa" w:w="160"/>
              <w:right w:type="dxa" w:w="200"/>
            </w:tcMar>
          </w:tcPr>
          <w:p>
            <w:pPr>
              <w:spacing w:after="80" w:before="0"/>
            </w:pPr>
            <w:r>
              <w:rPr>
                <w:b/>
                <w:bCs/>
                <w:color w:val="806000"/>
                <w:sz w:val="22"/>
                <w:szCs w:val="22"/>
              </w:rPr>
              <w:t xml:space="preserve">Practical Note</w:t>
            </w:r>
          </w:p>
          <w:p>
            <w:pPr>
              <w:spacing w:after="40" w:before="40"/>
            </w:pPr>
            <w:r>
              <w:rPr>
                <w:sz w:val="22"/>
                <w:szCs w:val="22"/>
              </w:rPr>
              <w:t xml:space="preserve">Always request APRA AMCOS and PPCA statements directly from the client portal where possible. Statements emailed to clients are frequently lost, partial, or for the wrong period. The client portal gives you the full annual statement with breakdown by use category, which is essential for sourcing TPI accurately.</w:t>
            </w:r>
          </w:p>
        </w:tc>
      </w:tr>
    </w:tbl>
    <w:p>
      <w:pPr>
        <w:pStyle w:val="Heading1"/>
        <w:pageBreakBefore/>
        <w:spacing w:after="180" w:before="360"/>
      </w:pPr>
      <w:r>
        <w:rPr>
          <w:rFonts w:ascii="Arial" w:cs="Arial" w:eastAsia="Arial" w:hAnsi="Arial"/>
          <w:b/>
          <w:bCs/>
          <w:color w:val="7B1538"/>
          <w:sz w:val="36"/>
          <w:szCs w:val="36"/>
        </w:rPr>
        <w:t xml:space="preserve">Module 3: Division 405 Eligibility for Musicians</w:t>
      </w:r>
    </w:p>
    <w:p>
      <w:pPr>
        <w:pStyle w:val="Heading2"/>
        <w:spacing w:after="120" w:before="280"/>
      </w:pPr>
      <w:r>
        <w:rPr>
          <w:rFonts w:ascii="Arial" w:cs="Arial" w:eastAsia="Arial" w:hAnsi="Arial"/>
          <w:b/>
          <w:bCs/>
          <w:color w:val="7B1538"/>
          <w:sz w:val="28"/>
          <w:szCs w:val="28"/>
        </w:rPr>
        <w:t xml:space="preserve">3.1 The Statutory Categories</w:t>
      </w:r>
    </w:p>
    <w:p>
      <w:pPr>
        <w:spacing w:after="60" w:before="60" w:line="300"/>
        <w:jc w:val="both"/>
      </w:pPr>
      <w:r>
        <w:rPr>
          <w:b w:val="false"/>
          <w:bCs w:val="false"/>
          <w:i w:val="false"/>
          <w:iCs w:val="false"/>
          <w:color w:val="000000"/>
          <w:sz w:val="22"/>
          <w:szCs w:val="22"/>
        </w:rPr>
        <w:t xml:space="preserve">Under section 405-25 of ITAA 1997, the five categories of special professional are author, inventor, performing artist, production associate, and active sportsperson. Three of these categories regularly apply to musicians, and a single musician client will often fall into more than one simultaneously.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700"/>
        <w:gridCol w:w="3660"/>
      </w:tblGrid>
      <w:tr>
        <w:trPr>
          <w:tblHeader/>
        </w:trPr>
        <w:tc>
          <w:tcPr>
            <w:tcW w:type="dxa" w:w="2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Category</w:t>
            </w:r>
          </w:p>
        </w:tc>
        <w:tc>
          <w:tcPr>
            <w:tcW w:type="dxa" w:w="3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Statutory Basis</w:t>
            </w:r>
          </w:p>
        </w:tc>
        <w:tc>
          <w:tcPr>
            <w:tcW w:type="dxa" w:w="36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Typical Musician Profile</w:t>
            </w:r>
          </w:p>
        </w:tc>
      </w:tr>
      <w:tr>
        <w:tc>
          <w:tcPr>
            <w:tcW w:type="dxa" w:w="2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Performing artist</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 405-25(3): an individual who performs or appears in a performance, including a musical performance, before an audience.</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Singer, instrumentalist, conductor, member of a band, session player, orchestral musician, choral performer.</w:t>
            </w:r>
          </w:p>
        </w:tc>
      </w:tr>
      <w:tr>
        <w:tc>
          <w:tcPr>
            <w:tcW w:type="dxa" w:w="2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Author</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 405-25(2): an individual who is the author of a literary, dramatic, musical, or artistic work.</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Composer, songwriter, lyricist, arranger of original works (where the arrangement attracts copyright).</w:t>
            </w:r>
          </w:p>
        </w:tc>
      </w:tr>
      <w:tr>
        <w:tc>
          <w:tcPr>
            <w:tcW w:type="dxa" w:w="2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Production associate</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 405-25(4): an individual who provides artistic support to a performance or to the production of a sound recording.</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Record producer, music director, sound engineer (where the contribution is artistic, not merely technical), choreographer for a musical performance.</w:t>
            </w:r>
          </w:p>
        </w:tc>
      </w:tr>
    </w:tbl>
    <w:p>
      <w:pPr>
        <w:pStyle w:val="Heading3"/>
        <w:spacing w:after="80" w:before="200"/>
      </w:pPr>
      <w:r>
        <w:rPr>
          <w:rFonts w:ascii="Arial" w:cs="Arial" w:eastAsia="Arial" w:hAnsi="Arial"/>
          <w:b/>
          <w:bCs/>
          <w:color w:val="1B2D5C"/>
          <w:sz w:val="24"/>
          <w:szCs w:val="24"/>
        </w:rPr>
        <w:t xml:space="preserve">3.1.1 Why Overlap Matters</w:t>
      </w:r>
    </w:p>
    <w:p>
      <w:pPr>
        <w:spacing w:after="60" w:before="60" w:line="300"/>
        <w:jc w:val="both"/>
      </w:pPr>
      <w:r>
        <w:rPr>
          <w:b w:val="false"/>
          <w:bCs w:val="false"/>
          <w:i w:val="false"/>
          <w:iCs w:val="false"/>
          <w:color w:val="000000"/>
          <w:sz w:val="22"/>
          <w:szCs w:val="22"/>
        </w:rPr>
        <w:t xml:space="preserve">A singer-songwriter who also produces their own records may fall into all three categories. This is not an either-or determination. The categorisation drives the description of activity but the income stream is treated uniformly as TPI provided it derives from one of the qualifying activities. The practical implication is that you do not need to apportion between categories. You do, however, need to be able to point to a qualifying activity for every TPI dollar.</w:t>
      </w:r>
    </w:p>
    <w:p>
      <w:pPr>
        <w:pStyle w:val="Heading2"/>
        <w:spacing w:after="120" w:before="280"/>
      </w:pPr>
      <w:r>
        <w:rPr>
          <w:rFonts w:ascii="Arial" w:cs="Arial" w:eastAsia="Arial" w:hAnsi="Arial"/>
          <w:b/>
          <w:bCs/>
          <w:color w:val="7B1538"/>
          <w:sz w:val="28"/>
          <w:szCs w:val="28"/>
        </w:rPr>
        <w:t xml:space="preserve">3.2 The Threshold: $2,500 of TPI</w:t>
      </w:r>
    </w:p>
    <w:p>
      <w:pPr>
        <w:spacing w:after="60" w:before="60" w:line="300"/>
        <w:jc w:val="both"/>
      </w:pPr>
      <w:r>
        <w:rPr>
          <w:b w:val="false"/>
          <w:bCs w:val="false"/>
          <w:i w:val="false"/>
          <w:iCs w:val="false"/>
          <w:color w:val="000000"/>
          <w:sz w:val="22"/>
          <w:szCs w:val="22"/>
        </w:rPr>
        <w:t xml:space="preserve">Under section 405-30, an individual qualifies as a special professional in a year only if their TPI for that year is at least $2,500. The threshold is a binary gate: if you fall below it in a given year, you are not a special professional for that year, and no AASPI applies. The threshold has not changed since the regime commenced.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24"/>
              <w:bottom w:val="single" w:color="C00000" w:sz="8"/>
              <w:right w:val="single" w:color="C00000" w:sz="8"/>
            </w:tcBorders>
            <w:shd w:fill="FBE5D6" w:color="auto" w:val="clear"/>
            <w:tcMar>
              <w:top w:type="dxa" w:w="160"/>
              <w:left w:type="dxa" w:w="220"/>
              <w:bottom w:type="dxa" w:w="160"/>
              <w:right w:type="dxa" w:w="200"/>
            </w:tcMar>
          </w:tcPr>
          <w:p>
            <w:pPr>
              <w:spacing w:after="80" w:before="0"/>
            </w:pPr>
            <w:r>
              <w:rPr>
                <w:b/>
                <w:bCs/>
                <w:color w:val="C00000"/>
                <w:sz w:val="22"/>
                <w:szCs w:val="22"/>
              </w:rPr>
              <w:t xml:space="preserve">Reviewer Trap: First-Year Eligibility</w:t>
            </w:r>
          </w:p>
          <w:p>
            <w:pPr>
              <w:spacing w:after="40" w:before="40"/>
            </w:pPr>
            <w:r>
              <w:rPr>
                <w:sz w:val="22"/>
                <w:szCs w:val="22"/>
              </w:rPr>
              <w:t xml:space="preserve">The averaging system requires identifying the FIRST year in which the client became a special professional. This is the year in which TPI first reached $2,500. The first-year identification is critical because all subsequent AASPI calculations build from it. A junior preparer who silently treats the current year as the first year (because the client has only recently become your client) will produce wrong figures. Always interview the client about their full music career history, even if you have only seen the last two or three returns.</w:t>
            </w:r>
          </w:p>
        </w:tc>
      </w:tr>
    </w:tbl>
    <w:p>
      <w:pPr>
        <w:pStyle w:val="Heading2"/>
        <w:spacing w:after="120" w:before="280"/>
      </w:pPr>
      <w:r>
        <w:rPr>
          <w:rFonts w:ascii="Arial" w:cs="Arial" w:eastAsia="Arial" w:hAnsi="Arial"/>
          <w:b/>
          <w:bCs/>
          <w:color w:val="7B1538"/>
          <w:sz w:val="28"/>
          <w:szCs w:val="28"/>
        </w:rPr>
        <w:t xml:space="preserve">3.3 The Residency Requirement</w:t>
      </w:r>
    </w:p>
    <w:p>
      <w:pPr>
        <w:spacing w:after="60" w:before="60" w:line="300"/>
        <w:jc w:val="both"/>
      </w:pPr>
      <w:r>
        <w:rPr>
          <w:b w:val="false"/>
          <w:bCs w:val="false"/>
          <w:i w:val="false"/>
          <w:iCs w:val="false"/>
          <w:color w:val="000000"/>
          <w:sz w:val="22"/>
          <w:szCs w:val="22"/>
        </w:rPr>
        <w:t xml:space="preserve">Division 405 applies only to Australian residents. A musician who becomes a non-resident for tax purposes part-way through a year is treated under the standard part-year rules: averaging applies only to the resident portion, and TPI sourced during the non-resident portion does not enter the average TPI calculation. For touring musicians who maintain Australian residency despite extended overseas periods, full averaging continues to apply.</w:t>
      </w:r>
    </w:p>
    <w:p>
      <w:pPr>
        <w:pStyle w:val="Heading2"/>
        <w:spacing w:after="120" w:before="280"/>
      </w:pPr>
      <w:r>
        <w:rPr>
          <w:rFonts w:ascii="Arial" w:cs="Arial" w:eastAsia="Arial" w:hAnsi="Arial"/>
          <w:b/>
          <w:bCs/>
          <w:color w:val="7B1538"/>
          <w:sz w:val="28"/>
          <w:szCs w:val="28"/>
        </w:rPr>
        <w:t xml:space="preserve">3.4 Edge Cases You Will Encounter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4560"/>
      </w:tblGrid>
      <w:tr>
        <w:trPr>
          <w:tblHeader/>
        </w:trPr>
        <w:tc>
          <w:tcPr>
            <w:tcW w:type="dxa" w:w="3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Scenario</w:t>
            </w:r>
          </w:p>
        </w:tc>
        <w:tc>
          <w:tcPr>
            <w:tcW w:type="dxa" w:w="18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Is it Division 405?</w:t>
            </w:r>
          </w:p>
        </w:tc>
        <w:tc>
          <w:tcPr>
            <w:tcW w:type="dxa" w:w="45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Why</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Music teacher (private studio only)</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w:t>
            </w:r>
          </w:p>
        </w:tc>
        <w:tc>
          <w:tcPr>
            <w:tcW w:type="dxa" w:w="4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Teaching is not 'performing' before an audience. It is also not 'authoring' or 'production associate' work.</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Music teacher who also gigs at weekends</w:t>
            </w:r>
          </w:p>
        </w:tc>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Yes (for the gig income only)</w:t>
            </w:r>
          </w:p>
        </w:tc>
        <w:tc>
          <w:tcPr>
            <w:tcW w:type="dxa" w:w="4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Gig income qualifies. Teaching income is not TPI but does form part of basic taxable income.</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Songwriter with no public performance</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Yes</w:t>
            </w:r>
          </w:p>
        </w:tc>
        <w:tc>
          <w:tcPr>
            <w:tcW w:type="dxa" w:w="4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Authorship of musical works alone qualifies under s 405-25(2).</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DJ in a nightclub</w:t>
            </w:r>
          </w:p>
        </w:tc>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Likely yes</w:t>
            </w:r>
          </w:p>
        </w:tc>
        <w:tc>
          <w:tcPr>
            <w:tcW w:type="dxa" w:w="4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Live DJ sets are performances before an audience. Cover the qualifying activity in the workpaper.</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Music critic or journalist</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w:t>
            </w:r>
          </w:p>
        </w:tc>
        <w:tc>
          <w:tcPr>
            <w:tcW w:type="dxa" w:w="4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Not an author of musical works; not a performer. May qualify if the critic is also a composer or performer separately.</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Music PR or publicist</w:t>
            </w:r>
          </w:p>
        </w:tc>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w:t>
            </w:r>
          </w:p>
        </w:tc>
        <w:tc>
          <w:tcPr>
            <w:tcW w:type="dxa" w:w="4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Not within any of the s 405-25 categories. Ordinary tax treatment applies.</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Recording engineer (purely technical)</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Usually no</w:t>
            </w:r>
          </w:p>
        </w:tc>
        <w:tc>
          <w:tcPr>
            <w:tcW w:type="dxa" w:w="4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The s 405-25(4) production associate category requires an artistic contribution. Pure mixing or mastering work is typically excluded.</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Recording engineer who also produces</w:t>
            </w:r>
          </w:p>
        </w:tc>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Usually yes</w:t>
            </w:r>
          </w:p>
        </w:tc>
        <w:tc>
          <w:tcPr>
            <w:tcW w:type="dxa" w:w="4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Producing involves shaping the artistic outcome and falls within s 405-25(4).</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Music therapist</w:t>
            </w:r>
          </w:p>
        </w:tc>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w:t>
            </w:r>
          </w:p>
        </w:tc>
        <w:tc>
          <w:tcPr>
            <w:tcW w:type="dxa" w:w="45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Not a qualifying activity. Allied health classification applies.</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Session musician on salary</w:t>
            </w:r>
          </w:p>
        </w:tc>
        <w:tc>
          <w:tcPr>
            <w:tcW w:type="dxa" w:w="18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Yes (income still qualifies)</w:t>
            </w:r>
          </w:p>
        </w:tc>
        <w:tc>
          <w:tcPr>
            <w:tcW w:type="dxa" w:w="45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Mode of remuneration does not change the character of the activity. Salary from performing work is TPI.</w:t>
            </w:r>
          </w:p>
        </w:tc>
      </w:tr>
    </w:tbl>
    <w:p>
      <w:pPr>
        <w:pStyle w:val="Heading2"/>
        <w:spacing w:after="120" w:before="280"/>
      </w:pPr>
      <w:r>
        <w:rPr>
          <w:rFonts w:ascii="Arial" w:cs="Arial" w:eastAsia="Arial" w:hAnsi="Arial"/>
          <w:b/>
          <w:bCs/>
          <w:color w:val="7B1538"/>
          <w:sz w:val="28"/>
          <w:szCs w:val="28"/>
        </w:rPr>
        <w:t xml:space="preserve">3.5 Multiple Category Overlap</w:t>
      </w:r>
    </w:p>
    <w:p>
      <w:pPr>
        <w:spacing w:after="60" w:before="60" w:line="300"/>
        <w:jc w:val="both"/>
      </w:pPr>
      <w:r>
        <w:rPr>
          <w:b w:val="false"/>
          <w:bCs w:val="false"/>
          <w:i w:val="false"/>
          <w:iCs w:val="false"/>
          <w:color w:val="000000"/>
          <w:sz w:val="22"/>
          <w:szCs w:val="22"/>
        </w:rPr>
        <w:t xml:space="preserve">Most professional musicians qualify across at least two of the three relevant categories simultaneously. For workpaper purposes, document the primary category and note any secondary categories. There is no special significance to choosing one category over another within Division 405. The category becomes relevant only if a TPI item appears to fall outside one category but might be picked up by another (for example, where a question arises about whether income from production work qualifies).</w:t>
      </w:r>
    </w:p>
    <w:p>
      <w:pPr>
        <w:pStyle w:val="Heading1"/>
        <w:pageBreakBefore/>
        <w:spacing w:after="180" w:before="360"/>
      </w:pPr>
      <w:r>
        <w:rPr>
          <w:rFonts w:ascii="Arial" w:cs="Arial" w:eastAsia="Arial" w:hAnsi="Arial"/>
          <w:b/>
          <w:bCs/>
          <w:color w:val="7B1538"/>
          <w:sz w:val="36"/>
          <w:szCs w:val="36"/>
        </w:rPr>
        <w:t xml:space="preserve">Module 4: What Counts as Taxable Professional Income for a Musician</w:t>
      </w:r>
    </w:p>
    <w:p>
      <w:pPr>
        <w:pStyle w:val="Heading2"/>
        <w:spacing w:after="120" w:before="280"/>
      </w:pPr>
      <w:r>
        <w:rPr>
          <w:rFonts w:ascii="Arial" w:cs="Arial" w:eastAsia="Arial" w:hAnsi="Arial"/>
          <w:b/>
          <w:bCs/>
          <w:color w:val="7B1538"/>
          <w:sz w:val="28"/>
          <w:szCs w:val="28"/>
        </w:rPr>
        <w:t xml:space="preserve">4.1 The TPI Definition</w:t>
      </w:r>
    </w:p>
    <w:p>
      <w:pPr>
        <w:spacing w:after="60" w:before="60" w:line="300"/>
        <w:jc w:val="both"/>
      </w:pPr>
      <w:r>
        <w:rPr>
          <w:b w:val="false"/>
          <w:bCs w:val="false"/>
          <w:i w:val="false"/>
          <w:iCs w:val="false"/>
          <w:color w:val="000000"/>
          <w:sz w:val="22"/>
          <w:szCs w:val="22"/>
        </w:rPr>
        <w:t xml:space="preserve">TPI for a special professional is defined at section 405-20 of ITAA 1997. In broad terms, it is assessable income derived from the special professional activity, reduced by directly attributable deductions. The two key features for musicians are that the income must derive from a qualifying activity (per Module 3), and that capital gains and certain other excluded amounts do not form part of TPI even where they relate to the music profession.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TPI = (Assessable income from qualifying activity) - (Deductions directly attributable to that income)</w:t>
            </w:r>
          </w:p>
        </w:tc>
      </w:tr>
    </w:tbl>
    <w:p>
      <w:pPr>
        <w:pStyle w:val="Heading2"/>
        <w:spacing w:after="120" w:before="280"/>
      </w:pPr>
      <w:r>
        <w:rPr>
          <w:rFonts w:ascii="Arial" w:cs="Arial" w:eastAsia="Arial" w:hAnsi="Arial"/>
          <w:b/>
          <w:bCs/>
          <w:color w:val="7B1538"/>
          <w:sz w:val="28"/>
          <w:szCs w:val="28"/>
        </w:rPr>
        <w:t xml:space="preserve">4.2 Income Streams that ARE TPI</w:t>
      </w:r>
    </w:p>
    <w:p>
      <w:pPr>
        <w:pStyle w:val="Heading3"/>
        <w:spacing w:after="80" w:before="200"/>
      </w:pPr>
      <w:r>
        <w:rPr>
          <w:rFonts w:ascii="Arial" w:cs="Arial" w:eastAsia="Arial" w:hAnsi="Arial"/>
          <w:b/>
          <w:bCs/>
          <w:color w:val="1B2D5C"/>
          <w:sz w:val="24"/>
          <w:szCs w:val="24"/>
        </w:rPr>
        <w:t xml:space="preserve">4.2.1 Live Performance Income</w:t>
      </w:r>
    </w:p>
    <w:p>
      <w:pPr>
        <w:pStyle w:val="ListParagraph"/>
        <w:numPr>
          <w:ilvl w:val="0"/>
          <w:numId w:val="2"/>
        </w:numPr>
        <w:spacing w:after="30" w:before="30" w:line="280"/>
      </w:pPr>
      <w:r>
        <w:rPr>
          <w:sz w:val="22"/>
          <w:szCs w:val="22"/>
        </w:rPr>
        <w:t xml:space="preserve">Touring fees, including support act fees and headline guarantees.</w:t>
      </w:r>
    </w:p>
    <w:p>
      <w:pPr>
        <w:pStyle w:val="ListParagraph"/>
        <w:numPr>
          <w:ilvl w:val="0"/>
          <w:numId w:val="2"/>
        </w:numPr>
        <w:spacing w:after="30" w:before="30" w:line="280"/>
      </w:pPr>
      <w:r>
        <w:rPr>
          <w:sz w:val="22"/>
          <w:szCs w:val="22"/>
        </w:rPr>
        <w:t xml:space="preserve">Concert door-share arrangements (artist share of ticket revenue after deductions).</w:t>
      </w:r>
    </w:p>
    <w:p>
      <w:pPr>
        <w:pStyle w:val="ListParagraph"/>
        <w:numPr>
          <w:ilvl w:val="0"/>
          <w:numId w:val="2"/>
        </w:numPr>
        <w:spacing w:after="30" w:before="30" w:line="280"/>
      </w:pPr>
      <w:r>
        <w:rPr>
          <w:sz w:val="22"/>
          <w:szCs w:val="22"/>
        </w:rPr>
        <w:t xml:space="preserve">Festival appearance fees.</w:t>
      </w:r>
    </w:p>
    <w:p>
      <w:pPr>
        <w:pStyle w:val="ListParagraph"/>
        <w:numPr>
          <w:ilvl w:val="0"/>
          <w:numId w:val="2"/>
        </w:numPr>
        <w:spacing w:after="30" w:before="30" w:line="280"/>
      </w:pPr>
      <w:r>
        <w:rPr>
          <w:sz w:val="22"/>
          <w:szCs w:val="22"/>
        </w:rPr>
        <w:t xml:space="preserve">Corporate and private event performance fees.</w:t>
      </w:r>
    </w:p>
    <w:p>
      <w:pPr>
        <w:pStyle w:val="ListParagraph"/>
        <w:numPr>
          <w:ilvl w:val="0"/>
          <w:numId w:val="2"/>
        </w:numPr>
        <w:spacing w:after="30" w:before="30" w:line="280"/>
      </w:pPr>
      <w:r>
        <w:rPr>
          <w:sz w:val="22"/>
          <w:szCs w:val="22"/>
        </w:rPr>
        <w:t xml:space="preserve">Session player fees for live recording or broadcast performances.</w:t>
      </w:r>
    </w:p>
    <w:p>
      <w:pPr>
        <w:pStyle w:val="ListParagraph"/>
        <w:numPr>
          <w:ilvl w:val="0"/>
          <w:numId w:val="2"/>
        </w:numPr>
        <w:spacing w:after="30" w:before="30" w:line="280"/>
      </w:pPr>
      <w:r>
        <w:rPr>
          <w:sz w:val="22"/>
          <w:szCs w:val="22"/>
        </w:rPr>
        <w:t xml:space="preserve">Conducting fees for live performances or recording sessions.</w:t>
      </w:r>
    </w:p>
    <w:p>
      <w:pPr>
        <w:pStyle w:val="Heading3"/>
        <w:spacing w:after="80" w:before="200"/>
      </w:pPr>
      <w:r>
        <w:rPr>
          <w:rFonts w:ascii="Arial" w:cs="Arial" w:eastAsia="Arial" w:hAnsi="Arial"/>
          <w:b/>
          <w:bCs/>
          <w:color w:val="1B2D5C"/>
          <w:sz w:val="24"/>
          <w:szCs w:val="24"/>
        </w:rPr>
        <w:t xml:space="preserve">4.2.2 Recording-Related Income</w:t>
      </w:r>
    </w:p>
    <w:p>
      <w:pPr>
        <w:pStyle w:val="ListParagraph"/>
        <w:numPr>
          <w:ilvl w:val="0"/>
          <w:numId w:val="2"/>
        </w:numPr>
        <w:spacing w:after="30" w:before="30" w:line="280"/>
      </w:pPr>
      <w:r>
        <w:rPr>
          <w:sz w:val="22"/>
          <w:szCs w:val="22"/>
        </w:rPr>
        <w:t xml:space="preserve">Mechanical royalties from physical sales and downloads (paid via APRA AMCOS or directly by labels).</w:t>
      </w:r>
    </w:p>
    <w:p>
      <w:pPr>
        <w:pStyle w:val="ListParagraph"/>
        <w:numPr>
          <w:ilvl w:val="0"/>
          <w:numId w:val="2"/>
        </w:numPr>
        <w:spacing w:after="30" w:before="30" w:line="280"/>
      </w:pPr>
      <w:r>
        <w:rPr>
          <w:sz w:val="22"/>
          <w:szCs w:val="22"/>
        </w:rPr>
        <w:t xml:space="preserve">Streaming royalties from DSPs (Spotify, Apple Music, YouTube Music, Tidal, Amazon Music) channelled via distributors or labels.</w:t>
      </w:r>
    </w:p>
    <w:p>
      <w:pPr>
        <w:pStyle w:val="ListParagraph"/>
        <w:numPr>
          <w:ilvl w:val="0"/>
          <w:numId w:val="2"/>
        </w:numPr>
        <w:spacing w:after="30" w:before="30" w:line="280"/>
      </w:pPr>
      <w:r>
        <w:rPr>
          <w:sz w:val="22"/>
          <w:szCs w:val="22"/>
        </w:rPr>
        <w:t xml:space="preserve">Performance royalties for radio, television, online broadcast, and public performance use (APRA).</w:t>
      </w:r>
    </w:p>
    <w:p>
      <w:pPr>
        <w:pStyle w:val="ListParagraph"/>
        <w:numPr>
          <w:ilvl w:val="0"/>
          <w:numId w:val="2"/>
        </w:numPr>
        <w:spacing w:after="30" w:before="30" w:line="280"/>
      </w:pPr>
      <w:r>
        <w:rPr>
          <w:sz w:val="22"/>
          <w:szCs w:val="22"/>
        </w:rPr>
        <w:t xml:space="preserve">Neighbouring rights / featured performer royalties via PPCA.</w:t>
      </w:r>
    </w:p>
    <w:p>
      <w:pPr>
        <w:pStyle w:val="ListParagraph"/>
        <w:numPr>
          <w:ilvl w:val="0"/>
          <w:numId w:val="2"/>
        </w:numPr>
        <w:spacing w:after="30" w:before="30" w:line="280"/>
      </w:pPr>
      <w:r>
        <w:rPr>
          <w:sz w:val="22"/>
          <w:szCs w:val="22"/>
        </w:rPr>
        <w:t xml:space="preserve">Producer points (royalty share on recordings produced by the artist).</w:t>
      </w:r>
    </w:p>
    <w:p>
      <w:pPr>
        <w:pStyle w:val="ListParagraph"/>
        <w:numPr>
          <w:ilvl w:val="0"/>
          <w:numId w:val="2"/>
        </w:numPr>
        <w:spacing w:after="30" w:before="30" w:line="280"/>
      </w:pPr>
      <w:r>
        <w:rPr>
          <w:sz w:val="22"/>
          <w:szCs w:val="22"/>
        </w:rPr>
        <w:t xml:space="preserve">Master use licensing fees where the artist owns or co-owns the recording.</w:t>
      </w:r>
    </w:p>
    <w:p>
      <w:pPr>
        <w:pStyle w:val="Heading3"/>
        <w:spacing w:after="80" w:before="200"/>
      </w:pPr>
      <w:r>
        <w:rPr>
          <w:rFonts w:ascii="Arial" w:cs="Arial" w:eastAsia="Arial" w:hAnsi="Arial"/>
          <w:b/>
          <w:bCs/>
          <w:color w:val="1B2D5C"/>
          <w:sz w:val="24"/>
          <w:szCs w:val="24"/>
        </w:rPr>
        <w:t xml:space="preserve">4.2.3 Composition and Publishing Income</w:t>
      </w:r>
    </w:p>
    <w:p>
      <w:pPr>
        <w:pStyle w:val="ListParagraph"/>
        <w:numPr>
          <w:ilvl w:val="0"/>
          <w:numId w:val="2"/>
        </w:numPr>
        <w:spacing w:after="30" w:before="30" w:line="280"/>
      </w:pPr>
      <w:r>
        <w:rPr>
          <w:sz w:val="22"/>
          <w:szCs w:val="22"/>
        </w:rPr>
        <w:t xml:space="preserve">Synchronisation licence fees (sync) for film, television, advertising, video game, or other audiovisual use.</w:t>
      </w:r>
    </w:p>
    <w:p>
      <w:pPr>
        <w:pStyle w:val="ListParagraph"/>
        <w:numPr>
          <w:ilvl w:val="0"/>
          <w:numId w:val="2"/>
        </w:numPr>
        <w:spacing w:after="30" w:before="30" w:line="280"/>
      </w:pPr>
      <w:r>
        <w:rPr>
          <w:sz w:val="22"/>
          <w:szCs w:val="22"/>
        </w:rPr>
        <w:t xml:space="preserve">Sheet music and folio publishing royalties.</w:t>
      </w:r>
    </w:p>
    <w:p>
      <w:pPr>
        <w:pStyle w:val="ListParagraph"/>
        <w:numPr>
          <w:ilvl w:val="0"/>
          <w:numId w:val="2"/>
        </w:numPr>
        <w:spacing w:after="30" w:before="30" w:line="280"/>
      </w:pPr>
      <w:r>
        <w:rPr>
          <w:sz w:val="22"/>
          <w:szCs w:val="22"/>
        </w:rPr>
        <w:t xml:space="preserve">Commissioning fees for original works (scores, jingles, ensemble commissions).</w:t>
      </w:r>
    </w:p>
    <w:p>
      <w:pPr>
        <w:pStyle w:val="ListParagraph"/>
        <w:numPr>
          <w:ilvl w:val="0"/>
          <w:numId w:val="2"/>
        </w:numPr>
        <w:spacing w:after="30" w:before="30" w:line="280"/>
      </w:pPr>
      <w:r>
        <w:rPr>
          <w:sz w:val="22"/>
          <w:szCs w:val="22"/>
        </w:rPr>
        <w:t xml:space="preserve">Publishing advances (timing rules apply: typically assessable on receipt unless contractually structured as a recoupable loan, which is rare).</w:t>
      </w:r>
    </w:p>
    <w:p>
      <w:pPr>
        <w:pStyle w:val="Heading3"/>
        <w:spacing w:after="80" w:before="200"/>
      </w:pPr>
      <w:r>
        <w:rPr>
          <w:rFonts w:ascii="Arial" w:cs="Arial" w:eastAsia="Arial" w:hAnsi="Arial"/>
          <w:b/>
          <w:bCs/>
          <w:color w:val="1B2D5C"/>
          <w:sz w:val="24"/>
          <w:szCs w:val="24"/>
        </w:rPr>
        <w:t xml:space="preserve">4.2.4 Other TPI</w:t>
      </w:r>
    </w:p>
    <w:p>
      <w:pPr>
        <w:pStyle w:val="ListParagraph"/>
        <w:numPr>
          <w:ilvl w:val="0"/>
          <w:numId w:val="2"/>
        </w:numPr>
        <w:spacing w:after="30" w:before="30" w:line="280"/>
      </w:pPr>
      <w:r>
        <w:rPr>
          <w:sz w:val="22"/>
          <w:szCs w:val="22"/>
        </w:rPr>
        <w:t xml:space="preserve">Endorsement income where the endorsement is conditional on the musician's performing or recording activity (for example, an instrument endorsement requiring promotional appearances).</w:t>
      </w:r>
    </w:p>
    <w:p>
      <w:pPr>
        <w:pStyle w:val="ListParagraph"/>
        <w:numPr>
          <w:ilvl w:val="0"/>
          <w:numId w:val="2"/>
        </w:numPr>
        <w:spacing w:after="30" w:before="30" w:line="280"/>
      </w:pPr>
      <w:r>
        <w:rPr>
          <w:sz w:val="22"/>
          <w:szCs w:val="22"/>
        </w:rPr>
        <w:t xml:space="preserve">Teaching income at a tertiary institution where the role is a 'performing professor' position with performance obligations, may be partly TPI: this is fact-dependent and requires careful review.</w:t>
      </w:r>
    </w:p>
    <w:p>
      <w:pPr>
        <w:pStyle w:val="ListParagraph"/>
        <w:numPr>
          <w:ilvl w:val="0"/>
          <w:numId w:val="2"/>
        </w:numPr>
        <w:spacing w:after="30" w:before="30" w:line="280"/>
      </w:pPr>
      <w:r>
        <w:rPr>
          <w:sz w:val="22"/>
          <w:szCs w:val="22"/>
        </w:rPr>
        <w:t xml:space="preserve">Grants and prizes connected with creative work, where the grant is income in nature (most music grants from Creative Australia, state arts agencies, and Music Australia are assessable; some honorific prizes are not). Refer to ATO ID 2002/644 and related guidance.</w:t>
      </w:r>
    </w:p>
    <w:p>
      <w:pPr>
        <w:pStyle w:val="Heading2"/>
        <w:spacing w:after="120" w:before="280"/>
      </w:pPr>
      <w:r>
        <w:rPr>
          <w:rFonts w:ascii="Arial" w:cs="Arial" w:eastAsia="Arial" w:hAnsi="Arial"/>
          <w:b/>
          <w:bCs/>
          <w:color w:val="7B1538"/>
          <w:sz w:val="28"/>
          <w:szCs w:val="28"/>
        </w:rPr>
        <w:t xml:space="preserve">4.3 Income that is NOT TPI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360"/>
        <w:gridCol w:w="3000"/>
      </w:tblGrid>
      <w:tr>
        <w:trPr>
          <w:tblHeader/>
        </w:trPr>
        <w:tc>
          <w:tcPr>
            <w:tcW w:type="dxa" w:w="3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Income Stream</w:t>
            </w:r>
          </w:p>
        </w:tc>
        <w:tc>
          <w:tcPr>
            <w:tcW w:type="dxa" w:w="33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Why excluded</w:t>
            </w:r>
          </w:p>
        </w:tc>
        <w:tc>
          <w:tcPr>
            <w:tcW w:type="dxa" w:w="3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Treatment</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Private music tuition (studio teaching)</w:t>
            </w:r>
          </w:p>
        </w:tc>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Not a qualifying activity under s 405-25</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Ordinary business or PSI; not in TPI</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Music journalism, criticism, reviewing</w:t>
            </w:r>
          </w:p>
        </w:tc>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Not author of musical works, not performer</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Ordinary income; not in TPI</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Capital gain on sale of instruments</w:t>
            </w:r>
          </w:p>
        </w:tc>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Statutory exclusion under s 405-20</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CGT; outside TPI</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Capital gain on sale of music catalogue (where treated as capital)</w:t>
            </w:r>
          </w:p>
        </w:tc>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Capital, not income</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CGT; outside TPI. Watch character of receipt.</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Salary as a music administrator</w:t>
            </w:r>
          </w:p>
        </w:tc>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Administrative, not performing</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Salary; not in TPI</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Investment income (interest, dividends, rent)</w:t>
            </w:r>
          </w:p>
        </w:tc>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Not derived from qualifying activity</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Not in TPI</w:t>
            </w:r>
          </w:p>
        </w:tc>
      </w:tr>
      <w:tr>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JobKeeper, JobSeeker, COVID disaster payments (where assessable)</w:t>
            </w:r>
          </w:p>
        </w:tc>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Government support, not from qualifying activity</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Assessable income; not in TPI</w:t>
            </w:r>
          </w:p>
        </w:tc>
      </w:tr>
      <w:tr>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Workers compensation and personal injury payouts</w:t>
            </w:r>
          </w:p>
        </w:tc>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Compensation, not from activity</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 applicable rules; not in TPI</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06000" w:sz="8"/>
              <w:left w:val="single" w:color="806000" w:sz="24"/>
              <w:bottom w:val="single" w:color="806000" w:sz="8"/>
              <w:right w:val="single" w:color="806000" w:sz="8"/>
            </w:tcBorders>
            <w:shd w:fill="FFF4CE" w:color="auto" w:val="clear"/>
            <w:tcMar>
              <w:top w:type="dxa" w:w="160"/>
              <w:left w:type="dxa" w:w="220"/>
              <w:bottom w:type="dxa" w:w="160"/>
              <w:right w:type="dxa" w:w="200"/>
            </w:tcMar>
          </w:tcPr>
          <w:p>
            <w:pPr>
              <w:spacing w:after="80" w:before="0"/>
            </w:pPr>
            <w:r>
              <w:rPr>
                <w:b/>
                <w:bCs/>
                <w:color w:val="806000"/>
                <w:sz w:val="22"/>
                <w:szCs w:val="22"/>
              </w:rPr>
              <w:t xml:space="preserve">Apportionment is Common</w:t>
            </w:r>
          </w:p>
          <w:p>
            <w:pPr>
              <w:spacing w:after="40" w:before="40"/>
            </w:pPr>
            <w:r>
              <w:rPr>
                <w:sz w:val="22"/>
                <w:szCs w:val="22"/>
              </w:rPr>
              <w:t xml:space="preserve">A working musician's tax return is almost never 100 per cent TPI. Teaching, salary, investment income, and capital items are routine. Your workpaper must show a clear reconciliation: total assessable income, less non-TPI items, equals TPI used in the AASPI calculation. Reviewers will fail any file that lacks this reconciliation.</w:t>
            </w:r>
          </w:p>
        </w:tc>
      </w:tr>
    </w:tbl>
    <w:p>
      <w:pPr>
        <w:pStyle w:val="Heading2"/>
        <w:spacing w:after="120" w:before="280"/>
      </w:pPr>
      <w:r>
        <w:rPr>
          <w:rFonts w:ascii="Arial" w:cs="Arial" w:eastAsia="Arial" w:hAnsi="Arial"/>
          <w:b/>
          <w:bCs/>
          <w:color w:val="7B1538"/>
          <w:sz w:val="28"/>
          <w:szCs w:val="28"/>
        </w:rPr>
        <w:t xml:space="preserve">4.4 Sourcing TPI from Royalty Statements</w:t>
      </w:r>
    </w:p>
    <w:p>
      <w:pPr>
        <w:spacing w:after="60" w:before="60" w:line="300"/>
        <w:jc w:val="both"/>
      </w:pPr>
      <w:r>
        <w:rPr>
          <w:b w:val="false"/>
          <w:bCs w:val="false"/>
          <w:i w:val="false"/>
          <w:iCs w:val="false"/>
          <w:color w:val="000000"/>
          <w:sz w:val="22"/>
          <w:szCs w:val="22"/>
        </w:rPr>
        <w:t xml:space="preserve">APRA AMCOS and PPCA statements are detailed but inconsistent in layout. The following table summarises how to map distribution categories to TPI for a typical performer-composer.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60"/>
        <w:gridCol w:w="2700"/>
        <w:gridCol w:w="3600"/>
      </w:tblGrid>
      <w:tr>
        <w:trPr>
          <w:tblHeader/>
        </w:trPr>
        <w:tc>
          <w:tcPr>
            <w:tcW w:type="dxa" w:w="30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Statement Line</w:t>
            </w:r>
          </w:p>
        </w:tc>
        <w:tc>
          <w:tcPr>
            <w:tcW w:type="dxa" w:w="2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Statement Issuer</w:t>
            </w:r>
          </w:p>
        </w:tc>
        <w:tc>
          <w:tcPr>
            <w:tcW w:type="dxa" w:w="36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TPI Treatment</w:t>
            </w:r>
          </w:p>
        </w:tc>
      </w:tr>
      <w:tr>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Performance royalties (Australia)</w:t>
            </w:r>
          </w:p>
        </w:tc>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APRA</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Full TPI</w:t>
            </w:r>
          </w:p>
        </w:tc>
      </w:tr>
      <w:tr>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Performance royalties (overseas, via reciprocal society)</w:t>
            </w:r>
          </w:p>
        </w:tc>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APRA</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Full TPI (foreign-sourced)</w:t>
            </w:r>
          </w:p>
        </w:tc>
      </w:tr>
      <w:tr>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Mechanical royalties (Australia)</w:t>
            </w:r>
          </w:p>
        </w:tc>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AMCOS</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Full TPI</w:t>
            </w:r>
          </w:p>
        </w:tc>
      </w:tr>
      <w:tr>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Mechanical royalties (overseas)</w:t>
            </w:r>
          </w:p>
        </w:tc>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AMCOS</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Full TPI (foreign-sourced)</w:t>
            </w:r>
          </w:p>
        </w:tc>
      </w:tr>
      <w:tr>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Featured performer distribution</w:t>
            </w:r>
          </w:p>
        </w:tc>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PPCA</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Full TPI</w:t>
            </w:r>
          </w:p>
        </w:tc>
      </w:tr>
      <w:tr>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Non-featured performer distribution</w:t>
            </w:r>
          </w:p>
        </w:tc>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PPCA</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Full TPI</w:t>
            </w:r>
          </w:p>
        </w:tc>
      </w:tr>
      <w:tr>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Label share of neighbouring rights</w:t>
            </w:r>
          </w:p>
        </w:tc>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PPCA</w:t>
            </w:r>
          </w:p>
        </w:tc>
        <w:tc>
          <w:tcPr>
            <w:tcW w:type="dxa" w:w="3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Not TPI (income belongs to label entity, not the individual performer)</w:t>
            </w:r>
          </w:p>
        </w:tc>
      </w:tr>
      <w:tr>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Adjustments and recoveries (negative entries)</w:t>
            </w:r>
          </w:p>
        </w:tc>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Either</w:t>
            </w:r>
          </w:p>
        </w:tc>
        <w:tc>
          <w:tcPr>
            <w:tcW w:type="dxa" w:w="3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Reduce TPI for the period in which they are credited</w:t>
            </w:r>
          </w:p>
        </w:tc>
      </w:tr>
    </w:tbl>
    <w:p>
      <w:pPr>
        <w:pStyle w:val="Heading1"/>
        <w:pageBreakBefore/>
        <w:spacing w:after="180" w:before="360"/>
      </w:pPr>
      <w:r>
        <w:rPr>
          <w:rFonts w:ascii="Arial" w:cs="Arial" w:eastAsia="Arial" w:hAnsi="Arial"/>
          <w:b/>
          <w:bCs/>
          <w:color w:val="7B1538"/>
          <w:sz w:val="36"/>
          <w:szCs w:val="36"/>
        </w:rPr>
        <w:t xml:space="preserve">Module 5: Applying the AASPI Mechanism</w:t>
      </w:r>
    </w:p>
    <w:p>
      <w:pPr>
        <w:pStyle w:val="Heading2"/>
        <w:spacing w:after="120" w:before="280"/>
      </w:pPr>
      <w:r>
        <w:rPr>
          <w:rFonts w:ascii="Arial" w:cs="Arial" w:eastAsia="Arial" w:hAnsi="Arial"/>
          <w:b/>
          <w:bCs/>
          <w:color w:val="7B1538"/>
          <w:sz w:val="28"/>
          <w:szCs w:val="28"/>
        </w:rPr>
        <w:t xml:space="preserve">5.1 What AASPI Is and Why it Matters</w:t>
      </w:r>
    </w:p>
    <w:p>
      <w:pPr>
        <w:spacing w:after="60" w:before="60" w:line="300"/>
        <w:jc w:val="both"/>
      </w:pPr>
      <w:r>
        <w:rPr>
          <w:b w:val="false"/>
          <w:bCs w:val="false"/>
          <w:i w:val="false"/>
          <w:iCs w:val="false"/>
          <w:color w:val="000000"/>
          <w:sz w:val="22"/>
          <w:szCs w:val="22"/>
        </w:rPr>
        <w:t xml:space="preserve">Above-average special professional income (AASPI) is the portion of the current year's TPI that exceeds the average of the prior four years' TPI. Only the AASPI portion is averaged: the balance is taxed normally. The tax saving in the spike year arises because the AASPI is notionally taxed as if it were spread over five years, and the comparison-rate calculation produces a lower effective rate than the marginal rate that would otherwise apply.</w:t>
      </w:r>
    </w:p>
    <w:p>
      <w:pPr>
        <w:pStyle w:val="Heading2"/>
        <w:spacing w:after="120" w:before="280"/>
      </w:pPr>
      <w:r>
        <w:rPr>
          <w:rFonts w:ascii="Arial" w:cs="Arial" w:eastAsia="Arial" w:hAnsi="Arial"/>
          <w:b/>
          <w:bCs/>
          <w:color w:val="7B1538"/>
          <w:sz w:val="28"/>
          <w:szCs w:val="28"/>
        </w:rPr>
        <w:t xml:space="preserve">5.2 The AASPI Calculation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Average TPI = (Sum of prior four years' TPI) divided by 4</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AASPI = max( 0 , Current year TPI - Average TPI )</w:t>
            </w:r>
          </w:p>
        </w:tc>
      </w:tr>
    </w:tbl>
    <w:p>
      <w:pPr>
        <w:spacing w:after="60" w:before="60" w:line="300"/>
        <w:jc w:val="both"/>
      </w:pPr>
      <w:r>
        <w:rPr>
          <w:b w:val="false"/>
          <w:bCs w:val="false"/>
          <w:i w:val="false"/>
          <w:iCs w:val="false"/>
          <w:color w:val="000000"/>
          <w:sz w:val="22"/>
          <w:szCs w:val="22"/>
        </w:rPr>
        <w:t xml:space="preserve">There are three points of nuance for musicians:</w:t>
      </w:r>
    </w:p>
    <w:p>
      <w:pPr>
        <w:pStyle w:val="ListParagraph"/>
        <w:numPr>
          <w:ilvl w:val="0"/>
          <w:numId w:val="3"/>
        </w:numPr>
        <w:spacing w:after="30" w:before="30" w:line="280"/>
      </w:pPr>
      <w:r>
        <w:rPr>
          <w:sz w:val="22"/>
          <w:szCs w:val="22"/>
        </w:rPr>
        <w:t xml:space="preserve">If average TPI is higher than current year TPI, AASPI is zero. No averaging applies in that year (you cannot get an additional benefit from a low-income year under Division 405). This is the most important difference between Division 392 and Division 405: there is no 'complementary tax' mechanism in 405.</w:t>
      </w:r>
    </w:p>
    <w:p>
      <w:pPr>
        <w:pStyle w:val="ListParagraph"/>
        <w:numPr>
          <w:ilvl w:val="0"/>
          <w:numId w:val="3"/>
        </w:numPr>
        <w:spacing w:after="30" w:before="30" w:line="280"/>
      </w:pPr>
      <w:r>
        <w:rPr>
          <w:sz w:val="22"/>
          <w:szCs w:val="22"/>
        </w:rPr>
        <w:t xml:space="preserve">In the first four eligible years, the average is phased in. In year 1, AASPI is calculated against an assumed zero average. In subsequent years, the average uses the available prior years (one, then two, then three) and the formula adjusts. Refer to the master manual for the precise transitional formula.</w:t>
      </w:r>
    </w:p>
    <w:p>
      <w:pPr>
        <w:pStyle w:val="ListParagraph"/>
        <w:numPr>
          <w:ilvl w:val="0"/>
          <w:numId w:val="3"/>
        </w:numPr>
        <w:spacing w:after="30" w:before="30" w:line="280"/>
      </w:pPr>
      <w:r>
        <w:rPr>
          <w:sz w:val="22"/>
          <w:szCs w:val="22"/>
        </w:rPr>
        <w:t xml:space="preserve">Years before the client first qualified as a special professional ($2,500 TPI threshold) do not enter the average TPI calculation. They are treated as zero. This is favourable to a client who had several below-threshold years before their breakthrough.</w:t>
      </w:r>
    </w:p>
    <w:p>
      <w:pPr>
        <w:pStyle w:val="Heading2"/>
        <w:spacing w:after="120" w:before="280"/>
      </w:pPr>
      <w:r>
        <w:rPr>
          <w:rFonts w:ascii="Arial" w:cs="Arial" w:eastAsia="Arial" w:hAnsi="Arial"/>
          <w:b/>
          <w:bCs/>
          <w:color w:val="7B1538"/>
          <w:sz w:val="28"/>
          <w:szCs w:val="28"/>
        </w:rPr>
        <w:t xml:space="preserve">5.3 The Comparison Rate Calculation</w:t>
      </w:r>
    </w:p>
    <w:p>
      <w:pPr>
        <w:spacing w:after="60" w:before="60" w:line="300"/>
        <w:jc w:val="both"/>
      </w:pPr>
      <w:r>
        <w:rPr>
          <w:b w:val="false"/>
          <w:bCs w:val="false"/>
          <w:i w:val="false"/>
          <w:iCs w:val="false"/>
          <w:color w:val="000000"/>
          <w:sz w:val="22"/>
          <w:szCs w:val="22"/>
        </w:rPr>
        <w:t xml:space="preserve">Once AASPI is determined, the tax saving arises by re-computing the tax on the AASPI as if it were spread over five years. The mechanism is summarised in the master manual. For the musician guide, the practical point is to verify that your tax software has correctly applied the calculation. Manual recalculation is recommended for any AASPI claim exceeding $50,000 because the dollar value of an error is material.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06000" w:sz="8"/>
              <w:left w:val="single" w:color="806000" w:sz="24"/>
              <w:bottom w:val="single" w:color="806000" w:sz="8"/>
              <w:right w:val="single" w:color="806000" w:sz="8"/>
            </w:tcBorders>
            <w:shd w:fill="FFF4CE" w:color="auto" w:val="clear"/>
            <w:tcMar>
              <w:top w:type="dxa" w:w="160"/>
              <w:left w:type="dxa" w:w="220"/>
              <w:bottom w:type="dxa" w:w="160"/>
              <w:right w:type="dxa" w:w="200"/>
            </w:tcMar>
          </w:tcPr>
          <w:p>
            <w:pPr>
              <w:spacing w:after="80" w:before="0"/>
            </w:pPr>
            <w:r>
              <w:rPr>
                <w:b/>
                <w:bCs/>
                <w:color w:val="806000"/>
                <w:sz w:val="22"/>
                <w:szCs w:val="22"/>
              </w:rPr>
              <w:t xml:space="preserve">Software Sanity Check</w:t>
            </w:r>
          </w:p>
          <w:p>
            <w:pPr>
              <w:spacing w:after="40" w:before="40"/>
            </w:pPr>
            <w:r>
              <w:rPr>
                <w:sz w:val="22"/>
                <w:szCs w:val="22"/>
              </w:rPr>
              <w:t xml:space="preserve">After preparing the return in Xero Tax or your equivalent, manually compute the average TPI on the workpaper. Then divide the AASPI by 5, add this fifth to the non-AASPI income, and compute the marginal-rate tax. The difference between this and the standard tax is the averaging offset, which should reconcile (within rounding) to the figure produced by the software.</w:t>
            </w:r>
          </w:p>
        </w:tc>
      </w:tr>
    </w:tbl>
    <w:p>
      <w:pPr>
        <w:pStyle w:val="Heading1"/>
        <w:pageBreakBefore/>
        <w:spacing w:after="180" w:before="360"/>
      </w:pPr>
      <w:r>
        <w:rPr>
          <w:rFonts w:ascii="Arial" w:cs="Arial" w:eastAsia="Arial" w:hAnsi="Arial"/>
          <w:b/>
          <w:bCs/>
          <w:color w:val="7B1538"/>
          <w:sz w:val="36"/>
          <w:szCs w:val="36"/>
        </w:rPr>
        <w:t xml:space="preserve">Module 6: Worked Examples: Four Realistic Scenarios</w:t>
      </w:r>
    </w:p>
    <w:p>
      <w:pPr>
        <w:pStyle w:val="Heading2"/>
        <w:spacing w:after="120" w:before="280"/>
      </w:pPr>
      <w:r>
        <w:rPr>
          <w:rFonts w:ascii="Arial" w:cs="Arial" w:eastAsia="Arial" w:hAnsi="Arial"/>
          <w:b/>
          <w:bCs/>
          <w:color w:val="7B1538"/>
          <w:sz w:val="28"/>
          <w:szCs w:val="28"/>
        </w:rPr>
        <w:t xml:space="preserve">6.1 Example 1: The Breakthrough Album Year</w:t>
      </w:r>
    </w:p>
    <w:p>
      <w:pPr>
        <w:spacing w:after="60" w:before="60" w:line="300"/>
        <w:jc w:val="both"/>
      </w:pPr>
      <w:r>
        <w:rPr>
          <w:b w:val="false"/>
          <w:bCs w:val="false"/>
          <w:i w:val="false"/>
          <w:iCs w:val="false"/>
          <w:color w:val="000000"/>
          <w:sz w:val="22"/>
          <w:szCs w:val="22"/>
        </w:rPr>
        <w:t xml:space="preserve">Aria is a singer-songwriter who has been recording and gigging professionally for six years. Her TPI history is set out below. In Y6, her second album achieves significant commercial success: she undertakes a national tour, secures a sync placement, and receives a large publishing advance.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5260"/>
        <w:gridCol w:w="2500"/>
      </w:tblGrid>
      <w:tr>
        <w:trPr>
          <w:tblHeader/>
        </w:trPr>
        <w:tc>
          <w:tcPr>
            <w:tcW w:type="dxa" w:w="16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Year</w:t>
            </w:r>
          </w:p>
        </w:tc>
        <w:tc>
          <w:tcPr>
            <w:tcW w:type="dxa" w:w="52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Description</w:t>
            </w:r>
          </w:p>
        </w:tc>
        <w:tc>
          <w:tcPr>
            <w:tcW w:type="dxa" w:w="25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TPI</w:t>
            </w:r>
          </w:p>
        </w:tc>
      </w:tr>
      <w:tr>
        <w:tc>
          <w:tcPr>
            <w:tcW w:type="dxa" w:w="1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Y1</w:t>
            </w:r>
          </w:p>
        </w:tc>
        <w:tc>
          <w:tcPr>
            <w:tcW w:type="dxa" w:w="52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EP release, regional gigging</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$18,000</w:t>
            </w:r>
          </w:p>
        </w:tc>
      </w:tr>
      <w:tr>
        <w:tc>
          <w:tcPr>
            <w:tcW w:type="dxa" w:w="1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Y2</w:t>
            </w:r>
          </w:p>
        </w:tc>
        <w:tc>
          <w:tcPr>
            <w:tcW w:type="dxa" w:w="52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First album, modest touring</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$32,000</w:t>
            </w:r>
          </w:p>
        </w:tc>
      </w:tr>
      <w:tr>
        <w:tc>
          <w:tcPr>
            <w:tcW w:type="dxa" w:w="1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Y3</w:t>
            </w:r>
          </w:p>
        </w:tc>
        <w:tc>
          <w:tcPr>
            <w:tcW w:type="dxa" w:w="52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Continued touring, first sync deal</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$41,000</w:t>
            </w:r>
          </w:p>
        </w:tc>
      </w:tr>
      <w:tr>
        <w:tc>
          <w:tcPr>
            <w:tcW w:type="dxa" w:w="1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Y4</w:t>
            </w:r>
          </w:p>
        </w:tc>
        <w:tc>
          <w:tcPr>
            <w:tcW w:type="dxa" w:w="52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Festival circuit, side projects</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$38,000</w:t>
            </w:r>
          </w:p>
        </w:tc>
      </w:tr>
      <w:tr>
        <w:tc>
          <w:tcPr>
            <w:tcW w:type="dxa" w:w="1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Y5</w:t>
            </w:r>
          </w:p>
        </w:tc>
        <w:tc>
          <w:tcPr>
            <w:tcW w:type="dxa" w:w="52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Pre-release touring and recording</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$45,000</w:t>
            </w:r>
          </w:p>
        </w:tc>
      </w:tr>
      <w:tr>
        <w:tc>
          <w:tcPr>
            <w:tcW w:type="dxa" w:w="1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Y6 (current year)</w:t>
            </w:r>
          </w:p>
        </w:tc>
        <w:tc>
          <w:tcPr>
            <w:tcW w:type="dxa" w:w="52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Album release, national tour, sync, publishing advance</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$285,000</w:t>
            </w:r>
          </w:p>
        </w:tc>
      </w:tr>
    </w:tbl>
    <w:p>
      <w:pPr>
        <w:pStyle w:val="Heading3"/>
        <w:spacing w:after="80" w:before="200"/>
      </w:pPr>
      <w:r>
        <w:rPr>
          <w:rFonts w:ascii="Arial" w:cs="Arial" w:eastAsia="Arial" w:hAnsi="Arial"/>
          <w:b/>
          <w:bCs/>
          <w:color w:val="1B2D5C"/>
          <w:sz w:val="24"/>
          <w:szCs w:val="24"/>
        </w:rPr>
        <w:t xml:space="preserve">Step 1: Confirm Eligibility</w:t>
      </w:r>
    </w:p>
    <w:p>
      <w:pPr>
        <w:spacing w:after="60" w:before="60" w:line="300"/>
        <w:jc w:val="both"/>
      </w:pPr>
      <w:r>
        <w:rPr>
          <w:b w:val="false"/>
          <w:bCs w:val="false"/>
          <w:i w:val="false"/>
          <w:iCs w:val="false"/>
          <w:color w:val="000000"/>
          <w:sz w:val="22"/>
          <w:szCs w:val="22"/>
        </w:rPr>
        <w:t xml:space="preserve">Aria qualifies as a performing artist and an author. Her first qualifying year was Y1 (TPI above $2,500). She has been continuously eligible since.</w:t>
      </w:r>
    </w:p>
    <w:p>
      <w:pPr>
        <w:pStyle w:val="Heading3"/>
        <w:spacing w:after="80" w:before="200"/>
      </w:pPr>
      <w:r>
        <w:rPr>
          <w:rFonts w:ascii="Arial" w:cs="Arial" w:eastAsia="Arial" w:hAnsi="Arial"/>
          <w:b/>
          <w:bCs/>
          <w:color w:val="1B2D5C"/>
          <w:sz w:val="24"/>
          <w:szCs w:val="24"/>
        </w:rPr>
        <w:t xml:space="preserve">Step 2: Compute Average TPI</w:t>
      </w:r>
    </w:p>
    <w:p>
      <w:pPr>
        <w:spacing w:after="60" w:before="60" w:line="300"/>
        <w:jc w:val="both"/>
      </w:pPr>
      <w:r>
        <w:rPr>
          <w:b w:val="false"/>
          <w:bCs w:val="false"/>
          <w:i w:val="false"/>
          <w:iCs w:val="false"/>
          <w:color w:val="000000"/>
          <w:sz w:val="22"/>
          <w:szCs w:val="22"/>
        </w:rPr>
        <w:t xml:space="preserve">The average is the simple average of the prior four years (Y2 to Y5).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Average TPI = (32,000 + 41,000 + 38,000 + 45,000) / 4 = 156,000 / 4 = $39,000</w:t>
            </w:r>
          </w:p>
        </w:tc>
      </w:tr>
    </w:tbl>
    <w:p>
      <w:pPr>
        <w:pStyle w:val="Heading3"/>
        <w:spacing w:after="80" w:before="200"/>
      </w:pPr>
      <w:r>
        <w:rPr>
          <w:rFonts w:ascii="Arial" w:cs="Arial" w:eastAsia="Arial" w:hAnsi="Arial"/>
          <w:b/>
          <w:bCs/>
          <w:color w:val="1B2D5C"/>
          <w:sz w:val="24"/>
          <w:szCs w:val="24"/>
        </w:rPr>
        <w:t xml:space="preserve">Step 3: Compute AASPI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AASPI = max(0, 285,000 - 39,000) = $246,000</w:t>
            </w:r>
          </w:p>
        </w:tc>
      </w:tr>
    </w:tbl>
    <w:p>
      <w:pPr>
        <w:pStyle w:val="Heading3"/>
        <w:spacing w:after="80" w:before="200"/>
      </w:pPr>
      <w:r>
        <w:rPr>
          <w:rFonts w:ascii="Arial" w:cs="Arial" w:eastAsia="Arial" w:hAnsi="Arial"/>
          <w:b/>
          <w:bCs/>
          <w:color w:val="1B2D5C"/>
          <w:sz w:val="24"/>
          <w:szCs w:val="24"/>
        </w:rPr>
        <w:t xml:space="preserve">Step 4: Tax Effect (illustrative, FY 2024-25 rates)</w:t>
      </w:r>
    </w:p>
    <w:p>
      <w:pPr>
        <w:spacing w:after="60" w:before="60" w:line="300"/>
        <w:jc w:val="both"/>
      </w:pPr>
      <w:r>
        <w:rPr>
          <w:b w:val="false"/>
          <w:bCs w:val="false"/>
          <w:i w:val="false"/>
          <w:iCs w:val="false"/>
          <w:color w:val="000000"/>
          <w:sz w:val="22"/>
          <w:szCs w:val="22"/>
        </w:rPr>
        <w:t xml:space="preserve">Aria's non-TPI assessable income is $4,000 of teaching fees. Her total taxable income is $289,000. Without averaging, the tax on $289,000 at marginal rates (ignoring Medicare and offsets, for illustration) is approximately $94,500. With averaging applied to the AASPI of $246,000, the effective tax falls to approximately $73,200, producing an averaging benefit of approximately $21,300. The precise figure depends on the actual marginal rates and any offsets; the workpaper must document the calculation.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06000" w:sz="8"/>
              <w:left w:val="single" w:color="806000" w:sz="24"/>
              <w:bottom w:val="single" w:color="806000" w:sz="8"/>
              <w:right w:val="single" w:color="806000" w:sz="8"/>
            </w:tcBorders>
            <w:shd w:fill="FFF4CE" w:color="auto" w:val="clear"/>
            <w:tcMar>
              <w:top w:type="dxa" w:w="160"/>
              <w:left w:type="dxa" w:w="220"/>
              <w:bottom w:type="dxa" w:w="160"/>
              <w:right w:type="dxa" w:w="200"/>
            </w:tcMar>
          </w:tcPr>
          <w:p>
            <w:pPr>
              <w:spacing w:after="80" w:before="0"/>
            </w:pPr>
            <w:r>
              <w:rPr>
                <w:b/>
                <w:bCs/>
                <w:color w:val="806000"/>
                <w:sz w:val="22"/>
                <w:szCs w:val="22"/>
              </w:rPr>
              <w:t xml:space="preserve">Workpaper Tip</w:t>
            </w:r>
          </w:p>
          <w:p>
            <w:pPr>
              <w:spacing w:after="40" w:before="40"/>
            </w:pPr>
            <w:r>
              <w:rPr>
                <w:sz w:val="22"/>
                <w:szCs w:val="22"/>
              </w:rPr>
              <w:t xml:space="preserve">Always present averaging benefit as a separate line on the workpaper. Clients value seeing the dollar saving, and partners want a single-line confirmation of materiality.</w:t>
            </w:r>
          </w:p>
        </w:tc>
      </w:tr>
    </w:tbl>
    <w:p>
      <w:pPr>
        <w:pStyle w:val="Heading2"/>
        <w:spacing w:after="120" w:before="280"/>
      </w:pPr>
      <w:r>
        <w:rPr>
          <w:rFonts w:ascii="Arial" w:cs="Arial" w:eastAsia="Arial" w:hAnsi="Arial"/>
          <w:b/>
          <w:bCs/>
          <w:color w:val="7B1538"/>
          <w:sz w:val="28"/>
          <w:szCs w:val="28"/>
        </w:rPr>
        <w:t xml:space="preserve">6.2 Example 2: The Sync Windfall</w:t>
      </w:r>
    </w:p>
    <w:p>
      <w:pPr>
        <w:spacing w:after="60" w:before="60" w:line="300"/>
        <w:jc w:val="both"/>
      </w:pPr>
      <w:r>
        <w:rPr>
          <w:b w:val="false"/>
          <w:bCs w:val="false"/>
          <w:i w:val="false"/>
          <w:iCs w:val="false"/>
          <w:color w:val="000000"/>
          <w:sz w:val="22"/>
          <w:szCs w:val="22"/>
        </w:rPr>
        <w:t xml:space="preserve">Devon is a session musician whose TPI has been stable around $70,000 to $80,000 for several years (session fees, festival appearances, some teaching at a conservatorium that is not TPI). In Y5, a track he co-wrote with a friend in Y2 is selected as the lead music in a global advertising campaign. His share of the sync fee is $160,000.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6000"/>
      </w:tblGrid>
      <w:tr>
        <w:trPr>
          <w:tblHeader/>
        </w:trPr>
        <w:tc>
          <w:tcPr>
            <w:tcW w:type="dxa" w:w="33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Year</w:t>
            </w:r>
          </w:p>
        </w:tc>
        <w:tc>
          <w:tcPr>
            <w:tcW w:type="dxa" w:w="6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TPI</w:t>
            </w:r>
          </w:p>
        </w:tc>
      </w:tr>
      <w:tr>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Y1</w:t>
            </w:r>
          </w:p>
        </w:tc>
        <w:tc>
          <w:tcPr>
            <w:tcW w:type="dxa" w:w="6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$72,000</w:t>
            </w:r>
          </w:p>
        </w:tc>
      </w:tr>
      <w:tr>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Y2</w:t>
            </w:r>
          </w:p>
        </w:tc>
        <w:tc>
          <w:tcPr>
            <w:tcW w:type="dxa" w:w="6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$78,000</w:t>
            </w:r>
          </w:p>
        </w:tc>
      </w:tr>
      <w:tr>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Y3</w:t>
            </w:r>
          </w:p>
        </w:tc>
        <w:tc>
          <w:tcPr>
            <w:tcW w:type="dxa" w:w="6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$70,000</w:t>
            </w:r>
          </w:p>
        </w:tc>
      </w:tr>
      <w:tr>
        <w:tc>
          <w:tcPr>
            <w:tcW w:type="dxa" w:w="3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Y4</w:t>
            </w:r>
          </w:p>
        </w:tc>
        <w:tc>
          <w:tcPr>
            <w:tcW w:type="dxa" w:w="6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$75,000</w:t>
            </w:r>
          </w:p>
        </w:tc>
      </w:tr>
      <w:tr>
        <w:tc>
          <w:tcPr>
            <w:tcW w:type="dxa" w:w="3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Y5 (current year)</w:t>
            </w:r>
          </w:p>
        </w:tc>
        <w:tc>
          <w:tcPr>
            <w:tcW w:type="dxa" w:w="6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$232,000 (includes $160,000 sync fee)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Average TPI = (78,000 + 70,000 + 75,000 + 75,000... no, use Y1 to Y4) = (72,000 + 78,000 + 70,000 + 75,000) / 4 = $73,750</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F2F2F2" w:val="clear"/>
            <w:tcMar>
              <w:top w:type="dxa" w:w="120"/>
              <w:left w:type="dxa" w:w="180"/>
              <w:bottom w:type="dxa" w:w="120"/>
              <w:right w:type="dxa" w:w="180"/>
            </w:tcMar>
          </w:tcPr>
          <w:p>
            <w:pPr>
              <w:jc w:val="center"/>
            </w:pPr>
            <w:r>
              <w:rPr>
                <w:rFonts w:ascii="Consolas" w:cs="Consolas" w:eastAsia="Consolas" w:hAnsi="Consolas"/>
                <w:b/>
                <w:bCs/>
                <w:color w:val="7B1538"/>
                <w:sz w:val="22"/>
                <w:szCs w:val="22"/>
              </w:rPr>
              <w:t xml:space="preserve">AASPI = max(0, 232,000 - 73,750) = $158,250</w:t>
            </w:r>
          </w:p>
        </w:tc>
      </w:tr>
    </w:tbl>
    <w:p>
      <w:pPr>
        <w:spacing w:after="60" w:before="60" w:line="300"/>
        <w:jc w:val="both"/>
      </w:pPr>
      <w:r>
        <w:rPr>
          <w:b w:val="false"/>
          <w:bCs w:val="false"/>
          <w:i w:val="false"/>
          <w:iCs w:val="false"/>
          <w:color w:val="000000"/>
          <w:sz w:val="22"/>
          <w:szCs w:val="22"/>
        </w:rPr>
        <w:t xml:space="preserve">The averaging benefit on $158,250 of AASPI at Devon's marginal rate is approximately $13,000 to $14,000. The exact figure depends on his deductions and offsets in Y5. Note that even though the sync fee was for work performed in Y2, it is taxed in Y5 (the year of receipt). Averaging restores some of the equity that the cash-basis assessment otherwise distorts.</w:t>
      </w:r>
    </w:p>
    <w:p>
      <w:pPr>
        <w:pStyle w:val="Heading2"/>
        <w:spacing w:after="120" w:before="280"/>
      </w:pPr>
      <w:r>
        <w:rPr>
          <w:rFonts w:ascii="Arial" w:cs="Arial" w:eastAsia="Arial" w:hAnsi="Arial"/>
          <w:b/>
          <w:bCs/>
          <w:color w:val="7B1538"/>
          <w:sz w:val="28"/>
          <w:szCs w:val="28"/>
        </w:rPr>
        <w:t xml:space="preserve">6.3 Example 3: The International Tour</w:t>
      </w:r>
    </w:p>
    <w:p>
      <w:pPr>
        <w:spacing w:after="60" w:before="60" w:line="300"/>
        <w:jc w:val="both"/>
      </w:pPr>
      <w:r>
        <w:rPr>
          <w:b w:val="false"/>
          <w:bCs w:val="false"/>
          <w:i w:val="false"/>
          <w:iCs w:val="false"/>
          <w:color w:val="000000"/>
          <w:sz w:val="22"/>
          <w:szCs w:val="22"/>
        </w:rPr>
        <w:t xml:space="preserve">Imogen is a conductor based in Sydney. She maintains Australian tax residency. In Y4, she undertakes a year-long engagement leading an orchestra in Europe. Her gross TPI for Y4 is AUD 420,000, of which AUD 350,000 is foreign-sourced and subject to host-country withholding tax of approximately AUD 75,000.</w:t>
      </w:r>
    </w:p>
    <w:p>
      <w:pPr>
        <w:pStyle w:val="Heading3"/>
        <w:spacing w:after="80" w:before="200"/>
      </w:pPr>
      <w:r>
        <w:rPr>
          <w:rFonts w:ascii="Arial" w:cs="Arial" w:eastAsia="Arial" w:hAnsi="Arial"/>
          <w:b/>
          <w:bCs/>
          <w:color w:val="1B2D5C"/>
          <w:sz w:val="24"/>
          <w:szCs w:val="24"/>
        </w:rPr>
        <w:t xml:space="preserve">Treatment Summary</w:t>
      </w:r>
    </w:p>
    <w:p>
      <w:pPr>
        <w:pStyle w:val="ListParagraph"/>
        <w:numPr>
          <w:ilvl w:val="0"/>
          <w:numId w:val="2"/>
        </w:numPr>
        <w:spacing w:after="30" w:before="30" w:line="280"/>
      </w:pPr>
      <w:r>
        <w:rPr>
          <w:sz w:val="22"/>
          <w:szCs w:val="22"/>
        </w:rPr>
        <w:t xml:space="preserve">All AUD 420,000 forms part of Imogen's TPI: foreign-sourced TPI is included in the average and current year figures.</w:t>
      </w:r>
    </w:p>
    <w:p>
      <w:pPr>
        <w:pStyle w:val="ListParagraph"/>
        <w:numPr>
          <w:ilvl w:val="0"/>
          <w:numId w:val="2"/>
        </w:numPr>
        <w:spacing w:after="30" w:before="30" w:line="280"/>
      </w:pPr>
      <w:r>
        <w:rPr>
          <w:sz w:val="22"/>
          <w:szCs w:val="22"/>
        </w:rPr>
        <w:t xml:space="preserve">The AUD 75,000 of foreign tax paid is claimable as a foreign income tax offset (FITO) under Division 770 of ITAA 1997, subject to the FITO cap.</w:t>
      </w:r>
    </w:p>
    <w:p>
      <w:pPr>
        <w:pStyle w:val="ListParagraph"/>
        <w:numPr>
          <w:ilvl w:val="0"/>
          <w:numId w:val="2"/>
        </w:numPr>
        <w:spacing w:after="30" w:before="30" w:line="280"/>
      </w:pPr>
      <w:r>
        <w:rPr>
          <w:sz w:val="22"/>
          <w:szCs w:val="22"/>
        </w:rPr>
        <w:t xml:space="preserve">The AASPI calculation is performed on a gross basis (foreign tax does not reduce TPI for averaging purposes).</w:t>
      </w:r>
    </w:p>
    <w:p>
      <w:pPr>
        <w:pStyle w:val="ListParagraph"/>
        <w:numPr>
          <w:ilvl w:val="0"/>
          <w:numId w:val="2"/>
        </w:numPr>
        <w:spacing w:after="30" w:before="30" w:line="280"/>
      </w:pPr>
      <w:r>
        <w:rPr>
          <w:sz w:val="22"/>
          <w:szCs w:val="22"/>
        </w:rPr>
        <w:t xml:space="preserve">The FITO is applied AFTER the averaging benefit is computed: the order is averaging adjustment first, then FITO offset.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24"/>
              <w:bottom w:val="single" w:color="C00000" w:sz="8"/>
              <w:right w:val="single" w:color="C00000" w:sz="8"/>
            </w:tcBorders>
            <w:shd w:fill="FBE5D6" w:color="auto" w:val="clear"/>
            <w:tcMar>
              <w:top w:type="dxa" w:w="160"/>
              <w:left w:type="dxa" w:w="220"/>
              <w:bottom w:type="dxa" w:w="160"/>
              <w:right w:type="dxa" w:w="200"/>
            </w:tcMar>
          </w:tcPr>
          <w:p>
            <w:pPr>
              <w:spacing w:after="80" w:before="0"/>
            </w:pPr>
            <w:r>
              <w:rPr>
                <w:b/>
                <w:bCs/>
                <w:color w:val="C00000"/>
                <w:sz w:val="22"/>
                <w:szCs w:val="22"/>
              </w:rPr>
              <w:t xml:space="preserve">Foreign Tour Pitfall</w:t>
            </w:r>
          </w:p>
          <w:p>
            <w:pPr>
              <w:spacing w:after="40" w:before="40"/>
            </w:pPr>
            <w:r>
              <w:rPr>
                <w:sz w:val="22"/>
                <w:szCs w:val="22"/>
              </w:rPr>
              <w:t xml:space="preserve">Junior preparers sometimes reduce TPI by the foreign withholding before performing the averaging calculation. This is incorrect. TPI is computed gross of foreign tax. The FITO is a separate offset applied to the final tax payable. Where the foreign income is large, this order can change the answer by tens of thousands of dollars.</w:t>
            </w:r>
          </w:p>
        </w:tc>
      </w:tr>
    </w:tbl>
    <w:p>
      <w:pPr>
        <w:pStyle w:val="Heading2"/>
        <w:spacing w:after="120" w:before="280"/>
      </w:pPr>
      <w:r>
        <w:rPr>
          <w:rFonts w:ascii="Arial" w:cs="Arial" w:eastAsia="Arial" w:hAnsi="Arial"/>
          <w:b/>
          <w:bCs/>
          <w:color w:val="7B1538"/>
          <w:sz w:val="28"/>
          <w:szCs w:val="28"/>
        </w:rPr>
        <w:t xml:space="preserve">6.4 Example 4: The Publishing Advance</w:t>
      </w:r>
    </w:p>
    <w:p>
      <w:pPr>
        <w:spacing w:after="60" w:before="60" w:line="300"/>
        <w:jc w:val="both"/>
      </w:pPr>
      <w:r>
        <w:rPr>
          <w:b w:val="false"/>
          <w:bCs w:val="false"/>
          <w:i w:val="false"/>
          <w:iCs w:val="false"/>
          <w:color w:val="000000"/>
          <w:sz w:val="22"/>
          <w:szCs w:val="22"/>
        </w:rPr>
        <w:t xml:space="preserve">Kavi is a songwriter who has signed a three-album publishing deal. In Y3, he receives a $180,000 non-refundable advance recoupable against future royalties. The contract is structured so that the advance is income on receipt: there is no requirement to repay if the songs do not earn enough to recoup the advance.</w:t>
      </w:r>
    </w:p>
    <w:p>
      <w:pPr>
        <w:pStyle w:val="Heading3"/>
        <w:spacing w:after="80" w:before="200"/>
      </w:pPr>
      <w:r>
        <w:rPr>
          <w:rFonts w:ascii="Arial" w:cs="Arial" w:eastAsia="Arial" w:hAnsi="Arial"/>
          <w:b/>
          <w:bCs/>
          <w:color w:val="1B2D5C"/>
          <w:sz w:val="24"/>
          <w:szCs w:val="24"/>
        </w:rPr>
        <w:t xml:space="preserve">Issue: Timing</w:t>
      </w:r>
    </w:p>
    <w:p>
      <w:pPr>
        <w:spacing w:after="60" w:before="60" w:line="300"/>
        <w:jc w:val="both"/>
      </w:pPr>
      <w:r>
        <w:rPr>
          <w:b w:val="false"/>
          <w:bCs w:val="false"/>
          <w:i w:val="false"/>
          <w:iCs w:val="false"/>
          <w:color w:val="000000"/>
          <w:sz w:val="22"/>
          <w:szCs w:val="22"/>
        </w:rPr>
        <w:t xml:space="preserve">The receipt is assessable in Y3 even though the songs that will recoup the advance may not yet have been written or commercialised. There is no statutory mechanism to spread the receipt across the contracted album cycle. Averaging under Division 405 is the only available smoothing mechanism.</w:t>
      </w:r>
    </w:p>
    <w:p>
      <w:pPr>
        <w:pStyle w:val="Heading3"/>
        <w:spacing w:after="80" w:before="200"/>
      </w:pPr>
      <w:r>
        <w:rPr>
          <w:rFonts w:ascii="Arial" w:cs="Arial" w:eastAsia="Arial" w:hAnsi="Arial"/>
          <w:b/>
          <w:bCs/>
          <w:color w:val="1B2D5C"/>
          <w:sz w:val="24"/>
          <w:szCs w:val="24"/>
        </w:rPr>
        <w:t xml:space="preserve">Issue: TPI Classification</w:t>
      </w:r>
    </w:p>
    <w:p>
      <w:pPr>
        <w:spacing w:after="60" w:before="60" w:line="300"/>
        <w:jc w:val="both"/>
      </w:pPr>
      <w:r>
        <w:rPr>
          <w:b w:val="false"/>
          <w:bCs w:val="false"/>
          <w:i w:val="false"/>
          <w:iCs w:val="false"/>
          <w:color w:val="000000"/>
          <w:sz w:val="22"/>
          <w:szCs w:val="22"/>
        </w:rPr>
        <w:t xml:space="preserve">The advance derives from Kavi's authorship of musical works. It is TPI. If the advance were structured as a loan repayable on demand, it would be a balance sheet item, not income, but the typical Australian publishing advance is not repayable. Always read the contract.</w:t>
      </w:r>
    </w:p>
    <w:p>
      <w:pPr>
        <w:pStyle w:val="Heading3"/>
        <w:spacing w:after="80" w:before="200"/>
      </w:pPr>
      <w:r>
        <w:rPr>
          <w:rFonts w:ascii="Arial" w:cs="Arial" w:eastAsia="Arial" w:hAnsi="Arial"/>
          <w:b/>
          <w:bCs/>
          <w:color w:val="1B2D5C"/>
          <w:sz w:val="24"/>
          <w:szCs w:val="24"/>
        </w:rPr>
        <w:t xml:space="preserve">Issue: Recoupment</w:t>
      </w:r>
    </w:p>
    <w:p>
      <w:pPr>
        <w:spacing w:after="60" w:before="60" w:line="300"/>
        <w:jc w:val="both"/>
      </w:pPr>
      <w:r>
        <w:rPr>
          <w:b w:val="false"/>
          <w:bCs w:val="false"/>
          <w:i w:val="false"/>
          <w:iCs w:val="false"/>
          <w:color w:val="000000"/>
          <w:sz w:val="22"/>
          <w:szCs w:val="22"/>
        </w:rPr>
        <w:t xml:space="preserve">In subsequent years, when royalties are earned and recouped against the advance, the gross royalties are still TPI in the year earned. The advance was already taxed in Y3, so no further tax arises on the recoupment. The publisher's royalty statement will show 'unrecouped balance' figures: these are informational only and have no tax effect.</w:t>
      </w:r>
    </w:p>
    <w:p>
      <w:pPr>
        <w:pStyle w:val="Heading1"/>
        <w:pageBreakBefore/>
        <w:spacing w:after="180" w:before="360"/>
      </w:pPr>
      <w:r>
        <w:rPr>
          <w:rFonts w:ascii="Arial" w:cs="Arial" w:eastAsia="Arial" w:hAnsi="Arial"/>
          <w:b/>
          <w:bCs/>
          <w:color w:val="7B1538"/>
          <w:sz w:val="36"/>
          <w:szCs w:val="36"/>
        </w:rPr>
        <w:t xml:space="preserve">Module 7: Foreign Performance Income and Tax Treaties</w:t>
      </w:r>
    </w:p>
    <w:p>
      <w:pPr>
        <w:pStyle w:val="Heading2"/>
        <w:spacing w:after="120" w:before="280"/>
      </w:pPr>
      <w:r>
        <w:rPr>
          <w:rFonts w:ascii="Arial" w:cs="Arial" w:eastAsia="Arial" w:hAnsi="Arial"/>
          <w:b/>
          <w:bCs/>
          <w:color w:val="7B1538"/>
          <w:sz w:val="28"/>
          <w:szCs w:val="28"/>
        </w:rPr>
        <w:t xml:space="preserve">7.1 The Touring Musician's Tax Environment</w:t>
      </w:r>
    </w:p>
    <w:p>
      <w:pPr>
        <w:spacing w:after="60" w:before="60" w:line="300"/>
        <w:jc w:val="both"/>
      </w:pPr>
      <w:r>
        <w:rPr>
          <w:b w:val="false"/>
          <w:bCs w:val="false"/>
          <w:i w:val="false"/>
          <w:iCs w:val="false"/>
          <w:color w:val="000000"/>
          <w:sz w:val="22"/>
          <w:szCs w:val="22"/>
        </w:rPr>
        <w:t xml:space="preserve">Australian-resident musicians who tour internationally face tax in two jurisdictions: Australia (on worldwide income) and the host country (typically on the income sourced there). The Australia-United States Double Tax Agreement, the Australia-United Kingdom DTA, and similar treaties allocate primary taxing rights. For performers, most DTAs adopt the OECD model approach under which the host country may tax performance income earned by visiting performers.</w:t>
      </w:r>
    </w:p>
    <w:p>
      <w:pPr>
        <w:pStyle w:val="Heading2"/>
        <w:spacing w:after="120" w:before="280"/>
      </w:pPr>
      <w:r>
        <w:rPr>
          <w:rFonts w:ascii="Arial" w:cs="Arial" w:eastAsia="Arial" w:hAnsi="Arial"/>
          <w:b/>
          <w:bCs/>
          <w:color w:val="7B1538"/>
          <w:sz w:val="28"/>
          <w:szCs w:val="28"/>
        </w:rPr>
        <w:t xml:space="preserve">7.2 Foreign Withholding and the FITO</w:t>
      </w:r>
    </w:p>
    <w:p>
      <w:pPr>
        <w:spacing w:after="60" w:before="60" w:line="300"/>
        <w:jc w:val="both"/>
      </w:pPr>
      <w:r>
        <w:rPr>
          <w:b w:val="false"/>
          <w:bCs w:val="false"/>
          <w:i w:val="false"/>
          <w:iCs w:val="false"/>
          <w:color w:val="000000"/>
          <w:sz w:val="22"/>
          <w:szCs w:val="22"/>
        </w:rPr>
        <w:t xml:space="preserve">Foreign withholding rates on performer income vary widely: the United States typically withholds 30 per cent on gross performer fees absent treaty exemption or a central withholding agreement, the United Kingdom withholds 20 per cent, and various EU countries range from 15 to 25 per cent. The withheld tax is generally available as a foreign income tax offset in Australia, subject to:</w:t>
      </w:r>
    </w:p>
    <w:p>
      <w:pPr>
        <w:pStyle w:val="ListParagraph"/>
        <w:numPr>
          <w:ilvl w:val="0"/>
          <w:numId w:val="2"/>
        </w:numPr>
        <w:spacing w:after="30" w:before="30" w:line="280"/>
      </w:pPr>
      <w:r>
        <w:rPr>
          <w:sz w:val="22"/>
          <w:szCs w:val="22"/>
        </w:rPr>
        <w:t xml:space="preserve">The income being assessable in Australia (it will be, for residents).</w:t>
      </w:r>
    </w:p>
    <w:p>
      <w:pPr>
        <w:pStyle w:val="ListParagraph"/>
        <w:numPr>
          <w:ilvl w:val="0"/>
          <w:numId w:val="2"/>
        </w:numPr>
        <w:spacing w:after="30" w:before="30" w:line="280"/>
      </w:pPr>
      <w:r>
        <w:rPr>
          <w:sz w:val="22"/>
          <w:szCs w:val="22"/>
        </w:rPr>
        <w:t xml:space="preserve">The foreign tax being substantially equivalent to Australian income tax (true for the major touring jurisdictions).</w:t>
      </w:r>
    </w:p>
    <w:p>
      <w:pPr>
        <w:pStyle w:val="ListParagraph"/>
        <w:numPr>
          <w:ilvl w:val="0"/>
          <w:numId w:val="2"/>
        </w:numPr>
        <w:spacing w:after="30" w:before="30" w:line="280"/>
      </w:pPr>
      <w:r>
        <w:rPr>
          <w:sz w:val="22"/>
          <w:szCs w:val="22"/>
        </w:rPr>
        <w:t xml:space="preserve">The FITO cap under section 770-75 of ITAA 1997: the offset is limited to the Australian tax attributable to the foreign-sourced income.</w:t>
      </w:r>
    </w:p>
    <w:p>
      <w:pPr>
        <w:pStyle w:val="Heading2"/>
        <w:spacing w:after="120" w:before="280"/>
      </w:pPr>
      <w:r>
        <w:rPr>
          <w:rFonts w:ascii="Arial" w:cs="Arial" w:eastAsia="Arial" w:hAnsi="Arial"/>
          <w:b/>
          <w:bCs/>
          <w:color w:val="7B1538"/>
          <w:sz w:val="28"/>
          <w:szCs w:val="28"/>
        </w:rPr>
        <w:t xml:space="preserve">7.3 The Order of Operations</w:t>
      </w:r>
    </w:p>
    <w:p>
      <w:pPr>
        <w:spacing w:after="60" w:before="60" w:line="300"/>
        <w:jc w:val="both"/>
      </w:pPr>
      <w:r>
        <w:rPr>
          <w:b w:val="false"/>
          <w:bCs w:val="false"/>
          <w:i w:val="false"/>
          <w:iCs w:val="false"/>
          <w:color w:val="000000"/>
          <w:sz w:val="22"/>
          <w:szCs w:val="22"/>
        </w:rPr>
        <w:t xml:space="preserve">For a foreign-tour year in which AASPI is triggered, the correct order is:</w:t>
      </w:r>
    </w:p>
    <w:p>
      <w:pPr>
        <w:pStyle w:val="ListParagraph"/>
        <w:numPr>
          <w:ilvl w:val="0"/>
          <w:numId w:val="3"/>
        </w:numPr>
        <w:spacing w:after="30" w:before="30" w:line="280"/>
      </w:pPr>
      <w:r>
        <w:rPr>
          <w:sz w:val="22"/>
          <w:szCs w:val="22"/>
        </w:rPr>
        <w:t xml:space="preserve">Compute total taxable income (Australian and foreign sources).</w:t>
      </w:r>
    </w:p>
    <w:p>
      <w:pPr>
        <w:pStyle w:val="ListParagraph"/>
        <w:numPr>
          <w:ilvl w:val="0"/>
          <w:numId w:val="3"/>
        </w:numPr>
        <w:spacing w:after="30" w:before="30" w:line="280"/>
      </w:pPr>
      <w:r>
        <w:rPr>
          <w:sz w:val="22"/>
          <w:szCs w:val="22"/>
        </w:rPr>
        <w:t xml:space="preserve">Identify TPI: foreign-sourced TPI is included gross of foreign tax.</w:t>
      </w:r>
    </w:p>
    <w:p>
      <w:pPr>
        <w:pStyle w:val="ListParagraph"/>
        <w:numPr>
          <w:ilvl w:val="0"/>
          <w:numId w:val="3"/>
        </w:numPr>
        <w:spacing w:after="30" w:before="30" w:line="280"/>
      </w:pPr>
      <w:r>
        <w:rPr>
          <w:sz w:val="22"/>
          <w:szCs w:val="22"/>
        </w:rPr>
        <w:t xml:space="preserve">Apply Division 405 to compute the averaging benefit on AASPI.</w:t>
      </w:r>
    </w:p>
    <w:p>
      <w:pPr>
        <w:pStyle w:val="ListParagraph"/>
        <w:numPr>
          <w:ilvl w:val="0"/>
          <w:numId w:val="3"/>
        </w:numPr>
        <w:spacing w:after="30" w:before="30" w:line="280"/>
      </w:pPr>
      <w:r>
        <w:rPr>
          <w:sz w:val="22"/>
          <w:szCs w:val="22"/>
        </w:rPr>
        <w:t xml:space="preserve">Compute the final tax payable after averaging.</w:t>
      </w:r>
    </w:p>
    <w:p>
      <w:pPr>
        <w:pStyle w:val="ListParagraph"/>
        <w:numPr>
          <w:ilvl w:val="0"/>
          <w:numId w:val="3"/>
        </w:numPr>
        <w:spacing w:after="30" w:before="30" w:line="280"/>
      </w:pPr>
      <w:r>
        <w:rPr>
          <w:sz w:val="22"/>
          <w:szCs w:val="22"/>
        </w:rPr>
        <w:t xml:space="preserve">Apply the FITO to reduce final tax, subject to the cap.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24"/>
              <w:bottom w:val="single" w:color="C00000" w:sz="8"/>
              <w:right w:val="single" w:color="C00000" w:sz="8"/>
            </w:tcBorders>
            <w:shd w:fill="FBE5D6" w:color="auto" w:val="clear"/>
            <w:tcMar>
              <w:top w:type="dxa" w:w="160"/>
              <w:left w:type="dxa" w:w="220"/>
              <w:bottom w:type="dxa" w:w="160"/>
              <w:right w:type="dxa" w:w="200"/>
            </w:tcMar>
          </w:tcPr>
          <w:p>
            <w:pPr>
              <w:spacing w:after="80" w:before="0"/>
            </w:pPr>
            <w:r>
              <w:rPr>
                <w:b/>
                <w:bCs/>
                <w:color w:val="C00000"/>
                <w:sz w:val="22"/>
                <w:szCs w:val="22"/>
              </w:rPr>
              <w:t xml:space="preserve">Why the Order Matters</w:t>
            </w:r>
          </w:p>
          <w:p>
            <w:pPr>
              <w:spacing w:after="40" w:before="40"/>
            </w:pPr>
            <w:r>
              <w:rPr>
                <w:sz w:val="22"/>
                <w:szCs w:val="22"/>
              </w:rPr>
              <w:t xml:space="preserve">Reversing steps 3 and 5 (applying FITO before averaging) produces a different and incorrect result. The mistake is common when manually walking through a return because the foreign tax is salient and the preparer naturally wants to offset it first. The legislative framework treats averaging as a tax computation step and FITO as a tax offset, so averaging applies first.</w:t>
            </w:r>
          </w:p>
        </w:tc>
      </w:tr>
    </w:tbl>
    <w:p>
      <w:pPr>
        <w:pStyle w:val="Heading2"/>
        <w:spacing w:after="120" w:before="280"/>
      </w:pPr>
      <w:r>
        <w:rPr>
          <w:rFonts w:ascii="Arial" w:cs="Arial" w:eastAsia="Arial" w:hAnsi="Arial"/>
          <w:b/>
          <w:bCs/>
          <w:color w:val="7B1538"/>
          <w:sz w:val="28"/>
          <w:szCs w:val="28"/>
        </w:rPr>
        <w:t xml:space="preserve">7.4 Section 23AG: Generally Not Applicable to Musicians</w:t>
      </w:r>
    </w:p>
    <w:p>
      <w:pPr>
        <w:spacing w:after="60" w:before="60" w:line="300"/>
        <w:jc w:val="both"/>
      </w:pPr>
      <w:r>
        <w:rPr>
          <w:b w:val="false"/>
          <w:bCs w:val="false"/>
          <w:i w:val="false"/>
          <w:iCs w:val="false"/>
          <w:color w:val="000000"/>
          <w:sz w:val="22"/>
          <w:szCs w:val="22"/>
        </w:rPr>
        <w:t xml:space="preserve">Section 23AG of ITAA 1936 exempts certain foreign employment income from Australian tax where the worker is employed overseas for 91 days or more and the work falls within specified categories (deployed Defence Force personnel, aid worker categories, etc.). It does not apply to touring musicians: performance and royalty income is not within the categories of foreign earnings exempted under s 23AG. Do not apply it.</w:t>
      </w:r>
    </w:p>
    <w:p>
      <w:pPr>
        <w:pStyle w:val="Heading2"/>
        <w:spacing w:after="120" w:before="280"/>
      </w:pPr>
      <w:r>
        <w:rPr>
          <w:rFonts w:ascii="Arial" w:cs="Arial" w:eastAsia="Arial" w:hAnsi="Arial"/>
          <w:b/>
          <w:bCs/>
          <w:color w:val="7B1538"/>
          <w:sz w:val="28"/>
          <w:szCs w:val="28"/>
        </w:rPr>
        <w:t xml:space="preserve">7.5 Practical Workpaper Requirements</w:t>
      </w:r>
    </w:p>
    <w:p>
      <w:pPr>
        <w:spacing w:after="60" w:before="60" w:line="300"/>
        <w:jc w:val="both"/>
      </w:pPr>
      <w:r>
        <w:rPr>
          <w:b w:val="false"/>
          <w:bCs w:val="false"/>
          <w:i w:val="false"/>
          <w:iCs w:val="false"/>
          <w:color w:val="000000"/>
          <w:sz w:val="22"/>
          <w:szCs w:val="22"/>
        </w:rPr>
        <w:t xml:space="preserve">For a foreign tour year, the workpaper must include:</w:t>
      </w:r>
    </w:p>
    <w:p>
      <w:pPr>
        <w:pStyle w:val="ListParagraph"/>
        <w:numPr>
          <w:ilvl w:val="0"/>
          <w:numId w:val="2"/>
        </w:numPr>
        <w:spacing w:after="30" w:before="30" w:line="280"/>
      </w:pPr>
      <w:r>
        <w:rPr>
          <w:sz w:val="22"/>
          <w:szCs w:val="22"/>
        </w:rPr>
        <w:t xml:space="preserve">Tour schedule showing the dates and locations of each performance.</w:t>
      </w:r>
    </w:p>
    <w:p>
      <w:pPr>
        <w:pStyle w:val="ListParagraph"/>
        <w:numPr>
          <w:ilvl w:val="0"/>
          <w:numId w:val="2"/>
        </w:numPr>
        <w:spacing w:after="30" w:before="30" w:line="280"/>
      </w:pPr>
      <w:r>
        <w:rPr>
          <w:sz w:val="22"/>
          <w:szCs w:val="22"/>
        </w:rPr>
        <w:t xml:space="preserve">Gross fees in foreign currency and the AUD-translated amounts (using the daily exchange rate or the ATO's monthly published rate, consistently applied).</w:t>
      </w:r>
    </w:p>
    <w:p>
      <w:pPr>
        <w:pStyle w:val="ListParagraph"/>
        <w:numPr>
          <w:ilvl w:val="0"/>
          <w:numId w:val="2"/>
        </w:numPr>
        <w:spacing w:after="30" w:before="30" w:line="280"/>
      </w:pPr>
      <w:r>
        <w:rPr>
          <w:sz w:val="22"/>
          <w:szCs w:val="22"/>
        </w:rPr>
        <w:t xml:space="preserve">Foreign withholding tax certificates (1042-S forms from US payers; equivalent documents from other jurisdictions).</w:t>
      </w:r>
    </w:p>
    <w:p>
      <w:pPr>
        <w:pStyle w:val="ListParagraph"/>
        <w:numPr>
          <w:ilvl w:val="0"/>
          <w:numId w:val="2"/>
        </w:numPr>
        <w:spacing w:after="30" w:before="30" w:line="280"/>
      </w:pPr>
      <w:r>
        <w:rPr>
          <w:sz w:val="22"/>
          <w:szCs w:val="22"/>
        </w:rPr>
        <w:t xml:space="preserve">Reconciliation between tour gross and the TPI included in the averaging calculation.</w:t>
      </w:r>
    </w:p>
    <w:p>
      <w:pPr>
        <w:pStyle w:val="ListParagraph"/>
        <w:numPr>
          <w:ilvl w:val="0"/>
          <w:numId w:val="2"/>
        </w:numPr>
        <w:spacing w:after="30" w:before="30" w:line="280"/>
      </w:pPr>
      <w:r>
        <w:rPr>
          <w:sz w:val="22"/>
          <w:szCs w:val="22"/>
        </w:rPr>
        <w:t xml:space="preserve">FITO computation including the section 770-75 cap calculation.</w:t>
      </w:r>
    </w:p>
    <w:p>
      <w:pPr>
        <w:pStyle w:val="Heading1"/>
        <w:pageBreakBefore/>
        <w:spacing w:after="180" w:before="360"/>
      </w:pPr>
      <w:r>
        <w:rPr>
          <w:rFonts w:ascii="Arial" w:cs="Arial" w:eastAsia="Arial" w:hAnsi="Arial"/>
          <w:b/>
          <w:bCs/>
          <w:color w:val="7B1538"/>
          <w:sz w:val="36"/>
          <w:szCs w:val="36"/>
        </w:rPr>
        <w:t xml:space="preserve">Module 8: GST, BAS and Indirect Tax Considerations</w:t>
      </w:r>
    </w:p>
    <w:p>
      <w:pPr>
        <w:pStyle w:val="Heading2"/>
        <w:spacing w:after="120" w:before="280"/>
      </w:pPr>
      <w:r>
        <w:rPr>
          <w:rFonts w:ascii="Arial" w:cs="Arial" w:eastAsia="Arial" w:hAnsi="Arial"/>
          <w:b/>
          <w:bCs/>
          <w:color w:val="7B1538"/>
          <w:sz w:val="28"/>
          <w:szCs w:val="28"/>
        </w:rPr>
        <w:t xml:space="preserve">8.1 GST Registration</w:t>
      </w:r>
    </w:p>
    <w:p>
      <w:pPr>
        <w:spacing w:after="60" w:before="60" w:line="300"/>
        <w:jc w:val="both"/>
      </w:pPr>
      <w:r>
        <w:rPr>
          <w:b w:val="false"/>
          <w:bCs w:val="false"/>
          <w:i w:val="false"/>
          <w:iCs w:val="false"/>
          <w:color w:val="000000"/>
          <w:sz w:val="22"/>
          <w:szCs w:val="22"/>
        </w:rPr>
        <w:t xml:space="preserve">A musician carrying on an enterprise in Australia must register for GST once their annual turnover exceeds $75,000. Many session musicians and gigging artists hover near this threshold and benefit from active monitoring throughout the year. Registration brings input tax credit entitlements but also imposes compliance obligations: quarterly BAS lodgement and tax invoice issuance.</w:t>
      </w:r>
    </w:p>
    <w:p>
      <w:pPr>
        <w:pStyle w:val="Heading2"/>
        <w:spacing w:after="120" w:before="280"/>
      </w:pPr>
      <w:r>
        <w:rPr>
          <w:rFonts w:ascii="Arial" w:cs="Arial" w:eastAsia="Arial" w:hAnsi="Arial"/>
          <w:b/>
          <w:bCs/>
          <w:color w:val="7B1538"/>
          <w:sz w:val="28"/>
          <w:szCs w:val="28"/>
        </w:rPr>
        <w:t xml:space="preserve">8.2 GST Treatment of Music Industry Income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2500"/>
        <w:gridCol w:w="4360"/>
      </w:tblGrid>
      <w:tr>
        <w:trPr>
          <w:tblHeader/>
        </w:trPr>
        <w:tc>
          <w:tcPr>
            <w:tcW w:type="dxa" w:w="25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Income Type</w:t>
            </w:r>
          </w:p>
        </w:tc>
        <w:tc>
          <w:tcPr>
            <w:tcW w:type="dxa" w:w="25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GST Treatment</w:t>
            </w:r>
          </w:p>
        </w:tc>
        <w:tc>
          <w:tcPr>
            <w:tcW w:type="dxa" w:w="43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Notes</w:t>
            </w:r>
          </w:p>
        </w:tc>
      </w:tr>
      <w:tr>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Australian performance fees</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Taxable supply (10% GST)</w:t>
            </w:r>
          </w:p>
        </w:tc>
        <w:tc>
          <w:tcPr>
            <w:tcW w:type="dxa" w:w="4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Issue tax invoice. Most venues will require it.</w:t>
            </w:r>
          </w:p>
        </w:tc>
      </w:tr>
      <w:tr>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Australian royalties (APRA AMCOS)</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Taxable supply (10% GST)</w:t>
            </w:r>
          </w:p>
        </w:tc>
        <w:tc>
          <w:tcPr>
            <w:tcW w:type="dxa" w:w="4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APRA AMCOS handles GST on royalty distributions; check whether amount is GST-inclusive on the statement.</w:t>
            </w:r>
          </w:p>
        </w:tc>
      </w:tr>
      <w:tr>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Streaming royalties via distributor</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Generally GST-free or taxable depending on payer location</w:t>
            </w:r>
          </w:p>
        </w:tc>
        <w:tc>
          <w:tcPr>
            <w:tcW w:type="dxa" w:w="4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If the distributor is non-resident and royalties relate to overseas use, often outside Australia for GST.</w:t>
            </w:r>
          </w:p>
        </w:tc>
      </w:tr>
      <w:tr>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Sync fees from Australian advertisers</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Taxable supply</w:t>
            </w:r>
          </w:p>
        </w:tc>
        <w:tc>
          <w:tcPr>
            <w:tcW w:type="dxa" w:w="4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Standard 10% GST.</w:t>
            </w:r>
          </w:p>
        </w:tc>
      </w:tr>
      <w:tr>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Sync fees from overseas users</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GST-free (export of services)</w:t>
            </w:r>
          </w:p>
        </w:tc>
        <w:tc>
          <w:tcPr>
            <w:tcW w:type="dxa" w:w="4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Foreign-resident recipient, services consumed outside Australia. Document the recipient's location.</w:t>
            </w:r>
          </w:p>
        </w:tc>
      </w:tr>
      <w:tr>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Overseas tour income</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Outside the scope of GST</w:t>
            </w:r>
          </w:p>
        </w:tc>
        <w:tc>
          <w:tcPr>
            <w:tcW w:type="dxa" w:w="4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Performance occurs overseas; GST is a domestic tax.</w:t>
            </w:r>
          </w:p>
        </w:tc>
      </w:tr>
      <w:tr>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Merchandise sold at gigs</w:t>
            </w:r>
          </w:p>
        </w:tc>
        <w:tc>
          <w:tcPr>
            <w:tcW w:type="dxa" w:w="25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Taxable supply (if registered)</w:t>
            </w:r>
          </w:p>
        </w:tc>
        <w:tc>
          <w:tcPr>
            <w:tcW w:type="dxa" w:w="43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Touring artists often sell at venues: GST applies. Many forget.</w:t>
            </w:r>
          </w:p>
        </w:tc>
      </w:tr>
      <w:tr>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Teaching fees</w:t>
            </w:r>
          </w:p>
        </w:tc>
        <w:tc>
          <w:tcPr>
            <w:tcW w:type="dxa" w:w="25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Mostly GST-free if 'education course' definition met, otherwise taxable</w:t>
            </w:r>
          </w:p>
        </w:tc>
        <w:tc>
          <w:tcPr>
            <w:tcW w:type="dxa" w:w="43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Private studio tuition is generally taxable; institutional teaching is often GST-free.</w:t>
            </w:r>
          </w:p>
        </w:tc>
      </w:tr>
    </w:tbl>
    <w:p>
      <w:pPr>
        <w:pStyle w:val="Heading2"/>
        <w:spacing w:after="120" w:before="280"/>
      </w:pPr>
      <w:r>
        <w:rPr>
          <w:rFonts w:ascii="Arial" w:cs="Arial" w:eastAsia="Arial" w:hAnsi="Arial"/>
          <w:b/>
          <w:bCs/>
          <w:color w:val="7B1538"/>
          <w:sz w:val="28"/>
          <w:szCs w:val="28"/>
        </w:rPr>
        <w:t xml:space="preserve">8.3 BAS Reconciliation for Averaging Files</w:t>
      </w:r>
    </w:p>
    <w:p>
      <w:pPr>
        <w:spacing w:after="60" w:before="60" w:line="300"/>
        <w:jc w:val="both"/>
      </w:pPr>
      <w:r>
        <w:rPr>
          <w:b w:val="false"/>
          <w:bCs w:val="false"/>
          <w:i w:val="false"/>
          <w:iCs w:val="false"/>
          <w:color w:val="000000"/>
          <w:sz w:val="22"/>
          <w:szCs w:val="22"/>
        </w:rPr>
        <w:t xml:space="preserve">When preparing a Division 405 file, reconcile the income reported on quarterly BASs against the income reported as TPI. Discrepancies typically arise from:</w:t>
      </w:r>
    </w:p>
    <w:p>
      <w:pPr>
        <w:pStyle w:val="ListParagraph"/>
        <w:numPr>
          <w:ilvl w:val="0"/>
          <w:numId w:val="2"/>
        </w:numPr>
        <w:spacing w:after="30" w:before="30" w:line="280"/>
      </w:pPr>
      <w:r>
        <w:rPr>
          <w:sz w:val="22"/>
          <w:szCs w:val="22"/>
        </w:rPr>
        <w:t xml:space="preserve">Timing: BAS reports on a cash or accruals basis (per registration); TPI follows income tax timing.</w:t>
      </w:r>
    </w:p>
    <w:p>
      <w:pPr>
        <w:pStyle w:val="ListParagraph"/>
        <w:numPr>
          <w:ilvl w:val="0"/>
          <w:numId w:val="2"/>
        </w:numPr>
        <w:spacing w:after="30" w:before="30" w:line="280"/>
      </w:pPr>
      <w:r>
        <w:rPr>
          <w:sz w:val="22"/>
          <w:szCs w:val="22"/>
        </w:rPr>
        <w:t xml:space="preserve">GST-free vs taxable distinctions in BAS that do not map cleanly to TPI vs non-TPI distinctions in the income tax return.</w:t>
      </w:r>
    </w:p>
    <w:p>
      <w:pPr>
        <w:pStyle w:val="ListParagraph"/>
        <w:numPr>
          <w:ilvl w:val="0"/>
          <w:numId w:val="2"/>
        </w:numPr>
        <w:spacing w:after="30" w:before="30" w:line="280"/>
      </w:pPr>
      <w:r>
        <w:rPr>
          <w:sz w:val="22"/>
          <w:szCs w:val="22"/>
        </w:rPr>
        <w:t xml:space="preserve">Merchandise income that should be in TPI (if linked to touring) but appears on BAS as ordinary supplies.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75623" w:sz="8"/>
              <w:left w:val="single" w:color="375623" w:sz="24"/>
              <w:bottom w:val="single" w:color="375623" w:sz="8"/>
              <w:right w:val="single" w:color="375623" w:sz="8"/>
            </w:tcBorders>
            <w:shd w:fill="E2EFDA" w:color="auto" w:val="clear"/>
            <w:tcMar>
              <w:top w:type="dxa" w:w="160"/>
              <w:left w:type="dxa" w:w="220"/>
              <w:bottom w:type="dxa" w:w="160"/>
              <w:right w:type="dxa" w:w="200"/>
            </w:tcMar>
          </w:tcPr>
          <w:p>
            <w:pPr>
              <w:spacing w:after="80" w:before="0"/>
            </w:pPr>
            <w:r>
              <w:rPr>
                <w:b/>
                <w:bCs/>
                <w:color w:val="375623"/>
                <w:sz w:val="22"/>
                <w:szCs w:val="22"/>
              </w:rPr>
              <w:t xml:space="preserve">Reviewer Note</w:t>
            </w:r>
          </w:p>
          <w:p>
            <w:pPr>
              <w:spacing w:after="40" w:before="40"/>
            </w:pPr>
            <w:r>
              <w:rPr>
                <w:sz w:val="22"/>
                <w:szCs w:val="22"/>
              </w:rPr>
              <w:t xml:space="preserve">A material BAS-to-income variance is a red flag. Either the BAS is wrong (and should be amended) or the income tax return is wrong. Always investigate the variance and document the resolution in the workpaper.</w:t>
            </w:r>
          </w:p>
        </w:tc>
      </w:tr>
    </w:tbl>
    <w:p>
      <w:pPr>
        <w:pStyle w:val="Heading1"/>
        <w:pageBreakBefore/>
        <w:spacing w:after="180" w:before="360"/>
      </w:pPr>
      <w:r>
        <w:rPr>
          <w:rFonts w:ascii="Arial" w:cs="Arial" w:eastAsia="Arial" w:hAnsi="Arial"/>
          <w:b/>
          <w:bCs/>
          <w:color w:val="7B1538"/>
          <w:sz w:val="36"/>
          <w:szCs w:val="36"/>
        </w:rPr>
        <w:t xml:space="preserve">Module 9: Common Errors and Edge Cases in Musician Files</w:t>
      </w:r>
    </w:p>
    <w:p>
      <w:pPr>
        <w:pStyle w:val="Heading2"/>
        <w:spacing w:after="120" w:before="280"/>
      </w:pPr>
      <w:r>
        <w:rPr>
          <w:rFonts w:ascii="Arial" w:cs="Arial" w:eastAsia="Arial" w:hAnsi="Arial"/>
          <w:b/>
          <w:bCs/>
          <w:color w:val="7B1538"/>
          <w:sz w:val="28"/>
          <w:szCs w:val="28"/>
        </w:rPr>
        <w:t xml:space="preserve">9.1 Top Errors Seen in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060"/>
        <w:gridCol w:w="3700"/>
      </w:tblGrid>
      <w:tr>
        <w:trPr>
          <w:tblHeader/>
        </w:trPr>
        <w:tc>
          <w:tcPr>
            <w:tcW w:type="dxa" w:w="26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Error</w:t>
            </w:r>
          </w:p>
        </w:tc>
        <w:tc>
          <w:tcPr>
            <w:tcW w:type="dxa" w:w="30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Consequence</w:t>
            </w:r>
          </w:p>
        </w:tc>
        <w:tc>
          <w:tcPr>
            <w:tcW w:type="dxa" w:w="3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Corrective Action</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Failing to identify first eligible year</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Wrong starting point for averaging; AASPI overstated or understated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Interview client about earliest year above $2,500 TPI; check prior returns; rebuild average TPI history</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Including teaching income in TPI</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AASPI overstated</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Apportion the return: teaching is non-TPI assessable income</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Including capital gain from instrument sale in TPI</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AASPI overstated; CGT also potentially missed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Move to CGT schedule; remove from TPI</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Treating publishing advance as deferred income</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Wrong year of derivation; understated current year TPI; risk to ATO position</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Recognise on receipt unless contract creates a genuine repayment obligation</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Forgetting APRA AMCOS quarterly statement (especially Q4)</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TPI understated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Always request the full annual statement direct from the client portal</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Missing PPCA distribution for featured performer</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TPI understated</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Confirm whether the client has registered with PPCA; check the annual distribution</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Foreign withholding netted against TPI before averaging</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AASPI understated; final tax under-saved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Apply gross TPI to averaging; treat FITO as a separate offset later</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Streaming royalties allocated to wrong year</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Cash vs accruals confusion; period-end statements straddling years</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Use the period dates on the distributor statement; allocate consistently with the firm's income recognition policy</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Member of a band, partnership not properly applied</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Income may be attributed wrongly; one band member double counted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Verify whether the band is a partnership, joint venture, or pass-through arrangement; apply Division 5 ITAA 1936</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Endorsement income classified as not TPI</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AASPI understated</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Endorsement income IS TPI where the endorsement is linked to performing or recording activity</w:t>
            </w:r>
          </w:p>
        </w:tc>
      </w:tr>
      <w:tr>
        <w:tc>
          <w:tcPr>
            <w:tcW w:type="dxa" w:w="26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Production fees treated as not TPI for a producer client</w:t>
            </w:r>
          </w:p>
        </w:tc>
        <w:tc>
          <w:tcPr>
            <w:tcW w:type="dxa" w:w="30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AASPI understated</w:t>
            </w:r>
          </w:p>
        </w:tc>
        <w:tc>
          <w:tcPr>
            <w:tcW w:type="dxa" w:w="3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Production work qualifies as production associate under s 405-25(4) where artistic</w:t>
            </w:r>
          </w:p>
        </w:tc>
      </w:tr>
      <w:tr>
        <w:tc>
          <w:tcPr>
            <w:tcW w:type="dxa" w:w="26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Failing to elect into averaging in the first eligible year</w:t>
            </w:r>
          </w:p>
        </w:tc>
        <w:tc>
          <w:tcPr>
            <w:tcW w:type="dxa" w:w="30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Permanent loss of averaging benefit until election made; complications</w:t>
            </w:r>
          </w:p>
        </w:tc>
        <w:tc>
          <w:tcPr>
            <w:tcW w:type="dxa" w:w="3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Always elect in the first year. The election is automatic in most software but verify.</w:t>
            </w:r>
          </w:p>
        </w:tc>
      </w:tr>
    </w:tbl>
    <w:p>
      <w:pPr>
        <w:pStyle w:val="Heading2"/>
        <w:spacing w:after="120" w:before="280"/>
      </w:pPr>
      <w:r>
        <w:rPr>
          <w:rFonts w:ascii="Arial" w:cs="Arial" w:eastAsia="Arial" w:hAnsi="Arial"/>
          <w:b/>
          <w:bCs/>
          <w:color w:val="7B1538"/>
          <w:sz w:val="28"/>
          <w:szCs w:val="28"/>
        </w:rPr>
        <w:t xml:space="preserve">9.2 The Permanent Withdrawal Trap</w:t>
      </w:r>
    </w:p>
    <w:p>
      <w:pPr>
        <w:spacing w:after="60" w:before="60" w:line="300"/>
        <w:jc w:val="both"/>
      </w:pPr>
      <w:r>
        <w:rPr>
          <w:b w:val="false"/>
          <w:bCs w:val="false"/>
          <w:i w:val="false"/>
          <w:iCs w:val="false"/>
          <w:color w:val="000000"/>
          <w:sz w:val="22"/>
          <w:szCs w:val="22"/>
        </w:rPr>
        <w:t xml:space="preserve">Section 392-25 of ITAA 1997 allows a primary producer to permanently withdraw from averaging. Although Division 405 does not have an equivalent express withdrawal mechanism, a client who has historically been treated as not eligible may have effectively forfeited averaging for the relevant years by failing to elect. Always check prior years.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24"/>
              <w:bottom w:val="single" w:color="C00000" w:sz="8"/>
              <w:right w:val="single" w:color="C00000" w:sz="8"/>
            </w:tcBorders>
            <w:shd w:fill="FBE5D6" w:color="auto" w:val="clear"/>
            <w:tcMar>
              <w:top w:type="dxa" w:w="160"/>
              <w:left w:type="dxa" w:w="220"/>
              <w:bottom w:type="dxa" w:w="160"/>
              <w:right w:type="dxa" w:w="200"/>
            </w:tcMar>
          </w:tcPr>
          <w:p>
            <w:pPr>
              <w:spacing w:after="80" w:before="0"/>
            </w:pPr>
            <w:r>
              <w:rPr>
                <w:b/>
                <w:bCs/>
                <w:color w:val="C00000"/>
                <w:sz w:val="22"/>
                <w:szCs w:val="22"/>
              </w:rPr>
              <w:t xml:space="preserve">Reviewer Warning: Catch-Up Elections</w:t>
            </w:r>
          </w:p>
          <w:p>
            <w:pPr>
              <w:spacing w:after="40" w:before="40"/>
            </w:pPr>
            <w:r>
              <w:rPr>
                <w:sz w:val="22"/>
                <w:szCs w:val="22"/>
              </w:rPr>
              <w:t xml:space="preserve">If you discover that a client should have been eligible for averaging in prior years but no election was made, the ability to amend prior returns is limited by the standard amendment periods (typically two or four years per s 170 ITAA 1936). Where amendment is closed, the benefit for those years is permanently lost. Discuss with the client and the partner: the conversation needs to be frank and on file.</w:t>
            </w:r>
          </w:p>
        </w:tc>
      </w:tr>
    </w:tbl>
    <w:p>
      <w:pPr>
        <w:pStyle w:val="Heading2"/>
        <w:spacing w:after="120" w:before="280"/>
      </w:pPr>
      <w:r>
        <w:rPr>
          <w:rFonts w:ascii="Arial" w:cs="Arial" w:eastAsia="Arial" w:hAnsi="Arial"/>
          <w:b/>
          <w:bCs/>
          <w:color w:val="7B1538"/>
          <w:sz w:val="28"/>
          <w:szCs w:val="28"/>
        </w:rPr>
        <w:t xml:space="preserve">9.3 The 'Band as Partnership' Edge Case</w:t>
      </w:r>
    </w:p>
    <w:p>
      <w:pPr>
        <w:spacing w:after="60" w:before="60" w:line="300"/>
        <w:jc w:val="both"/>
      </w:pPr>
      <w:r>
        <w:rPr>
          <w:b w:val="false"/>
          <w:bCs w:val="false"/>
          <w:i w:val="false"/>
          <w:iCs w:val="false"/>
          <w:color w:val="000000"/>
          <w:sz w:val="22"/>
          <w:szCs w:val="22"/>
        </w:rPr>
        <w:t xml:space="preserve">A band that operates as a partnership distributes net income to partners under section 92 of ITAA 1936. Each partner's share of partnership net income retains its character (TPI or non-TPI) when assessed in the partner's individual return. For averaging purposes:</w:t>
      </w:r>
    </w:p>
    <w:p>
      <w:pPr>
        <w:pStyle w:val="ListParagraph"/>
        <w:numPr>
          <w:ilvl w:val="0"/>
          <w:numId w:val="2"/>
        </w:numPr>
        <w:spacing w:after="30" w:before="30" w:line="280"/>
      </w:pPr>
      <w:r>
        <w:rPr>
          <w:sz w:val="22"/>
          <w:szCs w:val="22"/>
        </w:rPr>
        <w:t xml:space="preserve">Each band member computes their own TPI based on their share of partnership net income that derives from qualifying activity.</w:t>
      </w:r>
    </w:p>
    <w:p>
      <w:pPr>
        <w:pStyle w:val="ListParagraph"/>
        <w:numPr>
          <w:ilvl w:val="0"/>
          <w:numId w:val="2"/>
        </w:numPr>
        <w:spacing w:after="30" w:before="30" w:line="280"/>
      </w:pPr>
      <w:r>
        <w:rPr>
          <w:sz w:val="22"/>
          <w:szCs w:val="22"/>
        </w:rPr>
        <w:t xml:space="preserve">Each band member's eligibility (first year, threshold) is determined individually.</w:t>
      </w:r>
    </w:p>
    <w:p>
      <w:pPr>
        <w:pStyle w:val="ListParagraph"/>
        <w:numPr>
          <w:ilvl w:val="0"/>
          <w:numId w:val="2"/>
        </w:numPr>
        <w:spacing w:after="30" w:before="30" w:line="280"/>
      </w:pPr>
      <w:r>
        <w:rPr>
          <w:sz w:val="22"/>
          <w:szCs w:val="22"/>
        </w:rPr>
        <w:t xml:space="preserve">Where a band's net income includes both performance income (TPI) and non-TPI items (interest, equipment hire to others, etc.), the share-out preserves the character.</w:t>
      </w:r>
    </w:p>
    <w:p>
      <w:pPr>
        <w:spacing w:after="60" w:before="60" w:line="300"/>
        <w:jc w:val="both"/>
      </w:pPr>
      <w:r>
        <w:rPr>
          <w:b w:val="false"/>
          <w:bCs w:val="false"/>
          <w:i w:val="false"/>
          <w:iCs w:val="false"/>
          <w:color w:val="000000"/>
          <w:sz w:val="22"/>
          <w:szCs w:val="22"/>
        </w:rPr>
        <w:t xml:space="preserve">The same logic applies to a trust structure: beneficiary distributions of TPI retain their TPI character in the beneficiary's hands, provided the beneficiary is presently entitled and the underlying activity is qualifying.</w:t>
      </w:r>
    </w:p>
    <w:p>
      <w:pPr>
        <w:pStyle w:val="Heading1"/>
        <w:pageBreakBefore/>
        <w:spacing w:after="180" w:before="360"/>
      </w:pPr>
      <w:r>
        <w:rPr>
          <w:rFonts w:ascii="Arial" w:cs="Arial" w:eastAsia="Arial" w:hAnsi="Arial"/>
          <w:b/>
          <w:bCs/>
          <w:color w:val="7B1538"/>
          <w:sz w:val="36"/>
          <w:szCs w:val="36"/>
        </w:rPr>
        <w:t xml:space="preserve">Module 10: Processing Workflow for Musician Returns</w:t>
      </w:r>
    </w:p>
    <w:p>
      <w:pPr>
        <w:pStyle w:val="Heading2"/>
        <w:spacing w:after="120" w:before="280"/>
      </w:pPr>
      <w:r>
        <w:rPr>
          <w:rFonts w:ascii="Arial" w:cs="Arial" w:eastAsia="Arial" w:hAnsi="Arial"/>
          <w:b/>
          <w:bCs/>
          <w:color w:val="7B1538"/>
          <w:sz w:val="28"/>
          <w:szCs w:val="28"/>
        </w:rPr>
        <w:t xml:space="preserve">10.1 Source Document Checklist</w:t>
      </w:r>
    </w:p>
    <w:p>
      <w:pPr>
        <w:spacing w:after="60" w:before="60" w:line="300"/>
        <w:jc w:val="both"/>
      </w:pPr>
      <w:r>
        <w:rPr>
          <w:b w:val="false"/>
          <w:bCs w:val="false"/>
          <w:i w:val="false"/>
          <w:iCs w:val="false"/>
          <w:color w:val="000000"/>
          <w:sz w:val="22"/>
          <w:szCs w:val="22"/>
        </w:rPr>
        <w:t xml:space="preserve">Before commencing the return, the following documents should be on file. If any are missing, raise a query with the client immediately rather than deferring to mid-preparation.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3000"/>
        <w:gridCol w:w="3660"/>
      </w:tblGrid>
      <w:tr>
        <w:trPr>
          <w:tblHeader/>
        </w:trPr>
        <w:tc>
          <w:tcPr>
            <w:tcW w:type="dxa" w:w="27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Document</w:t>
            </w:r>
          </w:p>
        </w:tc>
        <w:tc>
          <w:tcPr>
            <w:tcW w:type="dxa" w:w="30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Purpose</w:t>
            </w:r>
          </w:p>
        </w:tc>
        <w:tc>
          <w:tcPr>
            <w:tcW w:type="dxa" w:w="36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Where to Get It</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APRA AMCOS annual royalty statement</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Domestic and overseas royalties for performance and mechanical use</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Client portal: writers.apraamcos.com.au</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PPCA distribution statement</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Neighbouring rights royalties</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Client portal: ppca.com.au</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Distributor royalty reports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Streaming royalties consolidated</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Distributor dashboard: Tunecore, DistroKid, AWAL, CD Baby</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Label royalty statements</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Royalties paid direct by record labels</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Label accounting department; usually semi-annual</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Publisher royalty statements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Songwriter and composer publishing royalties</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Publisher accounting; usually semi-annual</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Live performance schedule</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Tour and gig revenue</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Manager, agent, or client's own records</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Foreign withholding tax certificates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FITO substantiation</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US 1042-S, UK CT61 equivalent, etc.</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GST records / BAS lodgements</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Reconciliation to TPI</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Practice management system or client records</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Bank statements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Cash flow verification and missing income detection</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Direct from client</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Manager / agent commission invoices</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Allowable deductions</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Manager or agent records</w:t>
            </w:r>
          </w:p>
        </w:tc>
      </w:tr>
      <w:tr>
        <w:tc>
          <w:tcPr>
            <w:tcW w:type="dxa" w:w="27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Equipment depreciation schedule</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Capital allowances</w:t>
            </w:r>
          </w:p>
        </w:tc>
        <w:tc>
          <w:tcPr>
            <w:tcW w:type="dxa" w:w="36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Prior year file</w:t>
            </w:r>
          </w:p>
        </w:tc>
      </w:tr>
      <w:tr>
        <w:tc>
          <w:tcPr>
            <w:tcW w:type="dxa" w:w="27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Travel and accommodation records</w:t>
            </w:r>
          </w:p>
        </w:tc>
        <w:tc>
          <w:tcPr>
            <w:tcW w:type="dxa" w:w="30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Touring expenses; possible accommodation apportionment</w:t>
            </w:r>
          </w:p>
        </w:tc>
        <w:tc>
          <w:tcPr>
            <w:tcW w:type="dxa" w:w="36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Client diary, expense apps</w:t>
            </w:r>
          </w:p>
        </w:tc>
      </w:tr>
    </w:tbl>
    <w:p>
      <w:pPr>
        <w:pStyle w:val="Heading2"/>
        <w:spacing w:after="120" w:before="280"/>
      </w:pPr>
      <w:r>
        <w:rPr>
          <w:rFonts w:ascii="Arial" w:cs="Arial" w:eastAsia="Arial" w:hAnsi="Arial"/>
          <w:b/>
          <w:bCs/>
          <w:color w:val="7B1538"/>
          <w:sz w:val="28"/>
          <w:szCs w:val="28"/>
        </w:rPr>
        <w:t xml:space="preserve">10.2 Workpaper Structure</w:t>
      </w:r>
    </w:p>
    <w:p>
      <w:pPr>
        <w:pStyle w:val="ListParagraph"/>
        <w:numPr>
          <w:ilvl w:val="0"/>
          <w:numId w:val="3"/>
        </w:numPr>
        <w:spacing w:after="30" w:before="30" w:line="280"/>
      </w:pPr>
      <w:r>
        <w:rPr>
          <w:sz w:val="22"/>
          <w:szCs w:val="22"/>
        </w:rPr>
        <w:t xml:space="preserve">Cover page: client name, year, preparer, reviewer, partner, materiality threshold, status.</w:t>
      </w:r>
    </w:p>
    <w:p>
      <w:pPr>
        <w:pStyle w:val="ListParagraph"/>
        <w:numPr>
          <w:ilvl w:val="0"/>
          <w:numId w:val="3"/>
        </w:numPr>
        <w:spacing w:after="30" w:before="30" w:line="280"/>
      </w:pPr>
      <w:r>
        <w:rPr>
          <w:sz w:val="22"/>
          <w:szCs w:val="22"/>
        </w:rPr>
        <w:t xml:space="preserve">Income summary: total assessable income reconciled to bank deposits and BAS.</w:t>
      </w:r>
    </w:p>
    <w:p>
      <w:pPr>
        <w:pStyle w:val="ListParagraph"/>
        <w:numPr>
          <w:ilvl w:val="0"/>
          <w:numId w:val="3"/>
        </w:numPr>
        <w:spacing w:after="30" w:before="30" w:line="280"/>
      </w:pPr>
      <w:r>
        <w:rPr>
          <w:sz w:val="22"/>
          <w:szCs w:val="22"/>
        </w:rPr>
        <w:t xml:space="preserve">TPI working: assessable income broken into TPI and non-TPI components with cross-references to source documents.</w:t>
      </w:r>
    </w:p>
    <w:p>
      <w:pPr>
        <w:pStyle w:val="ListParagraph"/>
        <w:numPr>
          <w:ilvl w:val="0"/>
          <w:numId w:val="3"/>
        </w:numPr>
        <w:spacing w:after="30" w:before="30" w:line="280"/>
      </w:pPr>
      <w:r>
        <w:rPr>
          <w:sz w:val="22"/>
          <w:szCs w:val="22"/>
        </w:rPr>
        <w:t xml:space="preserve">Five-year TPI history: confirms eligibility, identifies first year, computes average TPI.</w:t>
      </w:r>
    </w:p>
    <w:p>
      <w:pPr>
        <w:pStyle w:val="ListParagraph"/>
        <w:numPr>
          <w:ilvl w:val="0"/>
          <w:numId w:val="3"/>
        </w:numPr>
        <w:spacing w:after="30" w:before="30" w:line="280"/>
      </w:pPr>
      <w:r>
        <w:rPr>
          <w:sz w:val="22"/>
          <w:szCs w:val="22"/>
        </w:rPr>
        <w:t xml:space="preserve">AASPI computation: average TPI, current year TPI, AASPI, confirmation of greater than zero.</w:t>
      </w:r>
    </w:p>
    <w:p>
      <w:pPr>
        <w:pStyle w:val="ListParagraph"/>
        <w:numPr>
          <w:ilvl w:val="0"/>
          <w:numId w:val="3"/>
        </w:numPr>
        <w:spacing w:after="30" w:before="30" w:line="280"/>
      </w:pPr>
      <w:r>
        <w:rPr>
          <w:sz w:val="22"/>
          <w:szCs w:val="22"/>
        </w:rPr>
        <w:t xml:space="preserve">Averaging benefit calculation: tax before averaging, tax after averaging, difference.</w:t>
      </w:r>
    </w:p>
    <w:p>
      <w:pPr>
        <w:pStyle w:val="ListParagraph"/>
        <w:numPr>
          <w:ilvl w:val="0"/>
          <w:numId w:val="3"/>
        </w:numPr>
        <w:spacing w:after="30" w:before="30" w:line="280"/>
      </w:pPr>
      <w:r>
        <w:rPr>
          <w:sz w:val="22"/>
          <w:szCs w:val="22"/>
        </w:rPr>
        <w:t xml:space="preserve">Foreign income working (if applicable): foreign-sourced TPI by country, foreign tax paid, FITO calc and cap.</w:t>
      </w:r>
    </w:p>
    <w:p>
      <w:pPr>
        <w:pStyle w:val="ListParagraph"/>
        <w:numPr>
          <w:ilvl w:val="0"/>
          <w:numId w:val="3"/>
        </w:numPr>
        <w:spacing w:after="30" w:before="30" w:line="280"/>
      </w:pPr>
      <w:r>
        <w:rPr>
          <w:sz w:val="22"/>
          <w:szCs w:val="22"/>
        </w:rPr>
        <w:t xml:space="preserve">Non-TPI income working: teaching, salary, investment, capital gains.</w:t>
      </w:r>
    </w:p>
    <w:p>
      <w:pPr>
        <w:pStyle w:val="ListParagraph"/>
        <w:numPr>
          <w:ilvl w:val="0"/>
          <w:numId w:val="3"/>
        </w:numPr>
        <w:spacing w:after="30" w:before="30" w:line="280"/>
      </w:pPr>
      <w:r>
        <w:rPr>
          <w:sz w:val="22"/>
          <w:szCs w:val="22"/>
        </w:rPr>
        <w:t xml:space="preserve">Deductions working: directly attributable to TPI vs general.</w:t>
      </w:r>
    </w:p>
    <w:p>
      <w:pPr>
        <w:pStyle w:val="ListParagraph"/>
        <w:numPr>
          <w:ilvl w:val="0"/>
          <w:numId w:val="3"/>
        </w:numPr>
        <w:spacing w:after="30" w:before="30" w:line="280"/>
      </w:pPr>
      <w:r>
        <w:rPr>
          <w:sz w:val="22"/>
          <w:szCs w:val="22"/>
        </w:rPr>
        <w:t xml:space="preserve">Final return reconciliation: line-by-line match to lodged return.</w:t>
      </w:r>
    </w:p>
    <w:p>
      <w:pPr>
        <w:pStyle w:val="Heading2"/>
        <w:spacing w:after="120" w:before="280"/>
      </w:pPr>
      <w:r>
        <w:rPr>
          <w:rFonts w:ascii="Arial" w:cs="Arial" w:eastAsia="Arial" w:hAnsi="Arial"/>
          <w:b/>
          <w:bCs/>
          <w:color w:val="7B1538"/>
          <w:sz w:val="28"/>
          <w:szCs w:val="28"/>
        </w:rPr>
        <w:t xml:space="preserve">10.3 Quality Gates Before Reviewer Handoff</w:t>
      </w:r>
    </w:p>
    <w:p>
      <w:pPr>
        <w:pStyle w:val="ListParagraph"/>
        <w:numPr>
          <w:ilvl w:val="0"/>
          <w:numId w:val="2"/>
        </w:numPr>
        <w:spacing w:after="30" w:before="30" w:line="280"/>
      </w:pPr>
      <w:r>
        <w:rPr>
          <w:sz w:val="22"/>
          <w:szCs w:val="22"/>
        </w:rPr>
        <w:t xml:space="preserve">All bank deposits explained and traced to income items or non-income flows.</w:t>
      </w:r>
    </w:p>
    <w:p>
      <w:pPr>
        <w:pStyle w:val="ListParagraph"/>
        <w:numPr>
          <w:ilvl w:val="0"/>
          <w:numId w:val="2"/>
        </w:numPr>
        <w:spacing w:after="30" w:before="30" w:line="280"/>
      </w:pPr>
      <w:r>
        <w:rPr>
          <w:sz w:val="22"/>
          <w:szCs w:val="22"/>
        </w:rPr>
        <w:t xml:space="preserve">APRA AMCOS, PPCA, and distributor statements present and tied to TPI.</w:t>
      </w:r>
    </w:p>
    <w:p>
      <w:pPr>
        <w:pStyle w:val="ListParagraph"/>
        <w:numPr>
          <w:ilvl w:val="0"/>
          <w:numId w:val="2"/>
        </w:numPr>
        <w:spacing w:after="30" w:before="30" w:line="280"/>
      </w:pPr>
      <w:r>
        <w:rPr>
          <w:sz w:val="22"/>
          <w:szCs w:val="22"/>
        </w:rPr>
        <w:t xml:space="preserve">Prior four years' TPI confirmed (either from prior workpapers or rebuilt from prior returns).</w:t>
      </w:r>
    </w:p>
    <w:p>
      <w:pPr>
        <w:pStyle w:val="ListParagraph"/>
        <w:numPr>
          <w:ilvl w:val="0"/>
          <w:numId w:val="2"/>
        </w:numPr>
        <w:spacing w:after="30" w:before="30" w:line="280"/>
      </w:pPr>
      <w:r>
        <w:rPr>
          <w:sz w:val="22"/>
          <w:szCs w:val="22"/>
        </w:rPr>
        <w:t xml:space="preserve">AASPI computation in numbers, with formula visible.</w:t>
      </w:r>
    </w:p>
    <w:p>
      <w:pPr>
        <w:pStyle w:val="ListParagraph"/>
        <w:numPr>
          <w:ilvl w:val="0"/>
          <w:numId w:val="2"/>
        </w:numPr>
        <w:spacing w:after="30" w:before="30" w:line="280"/>
      </w:pPr>
      <w:r>
        <w:rPr>
          <w:sz w:val="22"/>
          <w:szCs w:val="22"/>
        </w:rPr>
        <w:t xml:space="preserve">Averaging benefit in dollars, clearly highlighted.</w:t>
      </w:r>
    </w:p>
    <w:p>
      <w:pPr>
        <w:pStyle w:val="ListParagraph"/>
        <w:numPr>
          <w:ilvl w:val="0"/>
          <w:numId w:val="2"/>
        </w:numPr>
        <w:spacing w:after="30" w:before="30" w:line="280"/>
      </w:pPr>
      <w:r>
        <w:rPr>
          <w:sz w:val="22"/>
          <w:szCs w:val="22"/>
        </w:rPr>
        <w:t xml:space="preserve">FITO calculation present and reconciled to foreign tax credits.</w:t>
      </w:r>
    </w:p>
    <w:p>
      <w:pPr>
        <w:pStyle w:val="ListParagraph"/>
        <w:numPr>
          <w:ilvl w:val="0"/>
          <w:numId w:val="2"/>
        </w:numPr>
        <w:spacing w:after="30" w:before="30" w:line="280"/>
      </w:pPr>
      <w:r>
        <w:rPr>
          <w:sz w:val="22"/>
          <w:szCs w:val="22"/>
        </w:rPr>
        <w:t xml:space="preserve">BAS variance investigated and resolved.</w:t>
      </w:r>
    </w:p>
    <w:p>
      <w:pPr>
        <w:pStyle w:val="ListParagraph"/>
        <w:numPr>
          <w:ilvl w:val="0"/>
          <w:numId w:val="2"/>
        </w:numPr>
        <w:spacing w:after="30" w:before="30" w:line="280"/>
      </w:pPr>
      <w:r>
        <w:rPr>
          <w:sz w:val="22"/>
          <w:szCs w:val="22"/>
        </w:rPr>
        <w:t xml:space="preserve">Software output reconciled to manual calculation within 1 per cent or $50 (whichever is lesser).</w:t>
      </w:r>
    </w:p>
    <w:p>
      <w:pPr>
        <w:pStyle w:val="Heading1"/>
        <w:pageBreakBefore/>
        <w:spacing w:after="180" w:before="360"/>
      </w:pPr>
      <w:r>
        <w:rPr>
          <w:rFonts w:ascii="Arial" w:cs="Arial" w:eastAsia="Arial" w:hAnsi="Arial"/>
          <w:b/>
          <w:bCs/>
          <w:color w:val="7B1538"/>
          <w:sz w:val="36"/>
          <w:szCs w:val="36"/>
        </w:rPr>
        <w:t xml:space="preserve">Module 11: Reviewer Checklist for Musician Returns</w:t>
      </w:r>
    </w:p>
    <w:p>
      <w:pPr>
        <w:pStyle w:val="Heading2"/>
        <w:spacing w:after="120" w:before="280"/>
      </w:pPr>
      <w:r>
        <w:rPr>
          <w:rFonts w:ascii="Arial" w:cs="Arial" w:eastAsia="Arial" w:hAnsi="Arial"/>
          <w:b/>
          <w:bCs/>
          <w:color w:val="7B1538"/>
          <w:sz w:val="28"/>
          <w:szCs w:val="28"/>
        </w:rPr>
        <w:t xml:space="preserve">11.1 Eligibility Layer</w:t>
      </w:r>
    </w:p>
    <w:p>
      <w:pPr>
        <w:pStyle w:val="ListParagraph"/>
        <w:numPr>
          <w:ilvl w:val="0"/>
          <w:numId w:val="2"/>
        </w:numPr>
        <w:spacing w:after="30" w:before="30" w:line="280"/>
      </w:pPr>
      <w:r>
        <w:rPr>
          <w:sz w:val="22"/>
          <w:szCs w:val="22"/>
        </w:rPr>
        <w:t xml:space="preserve">Confirmed client is an Australian resident for the full income year.</w:t>
      </w:r>
    </w:p>
    <w:p>
      <w:pPr>
        <w:pStyle w:val="ListParagraph"/>
        <w:numPr>
          <w:ilvl w:val="0"/>
          <w:numId w:val="2"/>
        </w:numPr>
        <w:spacing w:after="30" w:before="30" w:line="280"/>
      </w:pPr>
      <w:r>
        <w:rPr>
          <w:sz w:val="22"/>
          <w:szCs w:val="22"/>
        </w:rPr>
        <w:t xml:space="preserve">Confirmed first qualifying year identified and prior history rebuilt.</w:t>
      </w:r>
    </w:p>
    <w:p>
      <w:pPr>
        <w:pStyle w:val="ListParagraph"/>
        <w:numPr>
          <w:ilvl w:val="0"/>
          <w:numId w:val="2"/>
        </w:numPr>
        <w:spacing w:after="30" w:before="30" w:line="280"/>
      </w:pPr>
      <w:r>
        <w:rPr>
          <w:sz w:val="22"/>
          <w:szCs w:val="22"/>
        </w:rPr>
        <w:t xml:space="preserve">Confirmed current year TPI exceeds $2,500 threshold (eligibility for the year).</w:t>
      </w:r>
    </w:p>
    <w:p>
      <w:pPr>
        <w:pStyle w:val="ListParagraph"/>
        <w:numPr>
          <w:ilvl w:val="0"/>
          <w:numId w:val="2"/>
        </w:numPr>
        <w:spacing w:after="30" w:before="30" w:line="280"/>
      </w:pPr>
      <w:r>
        <w:rPr>
          <w:sz w:val="22"/>
          <w:szCs w:val="22"/>
        </w:rPr>
        <w:t xml:space="preserve">Documented qualifying category (performing artist, author, production associate, or combinations).</w:t>
      </w:r>
    </w:p>
    <w:p>
      <w:pPr>
        <w:pStyle w:val="Heading2"/>
        <w:spacing w:after="120" w:before="280"/>
      </w:pPr>
      <w:r>
        <w:rPr>
          <w:rFonts w:ascii="Arial" w:cs="Arial" w:eastAsia="Arial" w:hAnsi="Arial"/>
          <w:b/>
          <w:bCs/>
          <w:color w:val="7B1538"/>
          <w:sz w:val="28"/>
          <w:szCs w:val="28"/>
        </w:rPr>
        <w:t xml:space="preserve">11.2 TPI Composition Layer</w:t>
      </w:r>
    </w:p>
    <w:p>
      <w:pPr>
        <w:pStyle w:val="ListParagraph"/>
        <w:numPr>
          <w:ilvl w:val="0"/>
          <w:numId w:val="2"/>
        </w:numPr>
        <w:spacing w:after="30" w:before="30" w:line="280"/>
      </w:pPr>
      <w:r>
        <w:rPr>
          <w:sz w:val="22"/>
          <w:szCs w:val="22"/>
        </w:rPr>
        <w:t xml:space="preserve">Confirmed each TPI component derives from a qualifying activity.</w:t>
      </w:r>
    </w:p>
    <w:p>
      <w:pPr>
        <w:pStyle w:val="ListParagraph"/>
        <w:numPr>
          <w:ilvl w:val="0"/>
          <w:numId w:val="2"/>
        </w:numPr>
        <w:spacing w:after="30" w:before="30" w:line="280"/>
      </w:pPr>
      <w:r>
        <w:rPr>
          <w:sz w:val="22"/>
          <w:szCs w:val="22"/>
        </w:rPr>
        <w:t xml:space="preserve">Verified APRA AMCOS and PPCA statements tied to TPI.</w:t>
      </w:r>
    </w:p>
    <w:p>
      <w:pPr>
        <w:pStyle w:val="ListParagraph"/>
        <w:numPr>
          <w:ilvl w:val="0"/>
          <w:numId w:val="2"/>
        </w:numPr>
        <w:spacing w:after="30" w:before="30" w:line="280"/>
      </w:pPr>
      <w:r>
        <w:rPr>
          <w:sz w:val="22"/>
          <w:szCs w:val="22"/>
        </w:rPr>
        <w:t xml:space="preserve">Verified distributor and label statements tied to TPI.</w:t>
      </w:r>
    </w:p>
    <w:p>
      <w:pPr>
        <w:pStyle w:val="ListParagraph"/>
        <w:numPr>
          <w:ilvl w:val="0"/>
          <w:numId w:val="2"/>
        </w:numPr>
        <w:spacing w:after="30" w:before="30" w:line="280"/>
      </w:pPr>
      <w:r>
        <w:rPr>
          <w:sz w:val="22"/>
          <w:szCs w:val="22"/>
        </w:rPr>
        <w:t xml:space="preserve">Confirmed teaching, journalism, and other non-qualifying income excluded from TPI.</w:t>
      </w:r>
    </w:p>
    <w:p>
      <w:pPr>
        <w:pStyle w:val="ListParagraph"/>
        <w:numPr>
          <w:ilvl w:val="0"/>
          <w:numId w:val="2"/>
        </w:numPr>
        <w:spacing w:after="30" w:before="30" w:line="280"/>
      </w:pPr>
      <w:r>
        <w:rPr>
          <w:sz w:val="22"/>
          <w:szCs w:val="22"/>
        </w:rPr>
        <w:t xml:space="preserve">Confirmed capital items excluded from TPI.</w:t>
      </w:r>
    </w:p>
    <w:p>
      <w:pPr>
        <w:pStyle w:val="ListParagraph"/>
        <w:numPr>
          <w:ilvl w:val="0"/>
          <w:numId w:val="2"/>
        </w:numPr>
        <w:spacing w:after="30" w:before="30" w:line="280"/>
      </w:pPr>
      <w:r>
        <w:rPr>
          <w:sz w:val="22"/>
          <w:szCs w:val="22"/>
        </w:rPr>
        <w:t xml:space="preserve">Confirmed foreign-sourced TPI included gross of foreign tax.</w:t>
      </w:r>
    </w:p>
    <w:p>
      <w:pPr>
        <w:pStyle w:val="Heading2"/>
        <w:spacing w:after="120" w:before="280"/>
      </w:pPr>
      <w:r>
        <w:rPr>
          <w:rFonts w:ascii="Arial" w:cs="Arial" w:eastAsia="Arial" w:hAnsi="Arial"/>
          <w:b/>
          <w:bCs/>
          <w:color w:val="7B1538"/>
          <w:sz w:val="28"/>
          <w:szCs w:val="28"/>
        </w:rPr>
        <w:t xml:space="preserve">11.3 Calculation Layer</w:t>
      </w:r>
    </w:p>
    <w:p>
      <w:pPr>
        <w:pStyle w:val="ListParagraph"/>
        <w:numPr>
          <w:ilvl w:val="0"/>
          <w:numId w:val="2"/>
        </w:numPr>
        <w:spacing w:after="30" w:before="30" w:line="280"/>
      </w:pPr>
      <w:r>
        <w:rPr>
          <w:sz w:val="22"/>
          <w:szCs w:val="22"/>
        </w:rPr>
        <w:t xml:space="preserve">Verified prior four years' TPI: figures match prior workpapers or reconstructed returns.</w:t>
      </w:r>
    </w:p>
    <w:p>
      <w:pPr>
        <w:pStyle w:val="ListParagraph"/>
        <w:numPr>
          <w:ilvl w:val="0"/>
          <w:numId w:val="2"/>
        </w:numPr>
        <w:spacing w:after="30" w:before="30" w:line="280"/>
      </w:pPr>
      <w:r>
        <w:rPr>
          <w:sz w:val="22"/>
          <w:szCs w:val="22"/>
        </w:rPr>
        <w:t xml:space="preserve">Confirmed average TPI computed correctly (or first-year/transitional rule applied).</w:t>
      </w:r>
    </w:p>
    <w:p>
      <w:pPr>
        <w:pStyle w:val="ListParagraph"/>
        <w:numPr>
          <w:ilvl w:val="0"/>
          <w:numId w:val="2"/>
        </w:numPr>
        <w:spacing w:after="30" w:before="30" w:line="280"/>
      </w:pPr>
      <w:r>
        <w:rPr>
          <w:sz w:val="22"/>
          <w:szCs w:val="22"/>
        </w:rPr>
        <w:t xml:space="preserve">Confirmed AASPI computed correctly (max of zero, current minus average).</w:t>
      </w:r>
    </w:p>
    <w:p>
      <w:pPr>
        <w:pStyle w:val="ListParagraph"/>
        <w:numPr>
          <w:ilvl w:val="0"/>
          <w:numId w:val="2"/>
        </w:numPr>
        <w:spacing w:after="30" w:before="30" w:line="280"/>
      </w:pPr>
      <w:r>
        <w:rPr>
          <w:sz w:val="22"/>
          <w:szCs w:val="22"/>
        </w:rPr>
        <w:t xml:space="preserve">Verified averaging benefit in dollars reconciles between software and manual recalc.</w:t>
      </w:r>
    </w:p>
    <w:p>
      <w:pPr>
        <w:pStyle w:val="ListParagraph"/>
        <w:numPr>
          <w:ilvl w:val="0"/>
          <w:numId w:val="2"/>
        </w:numPr>
        <w:spacing w:after="30" w:before="30" w:line="280"/>
      </w:pPr>
      <w:r>
        <w:rPr>
          <w:sz w:val="22"/>
          <w:szCs w:val="22"/>
        </w:rPr>
        <w:t xml:space="preserve">Spot-checked at least one tax calculation step independently.</w:t>
      </w:r>
    </w:p>
    <w:p>
      <w:pPr>
        <w:pStyle w:val="Heading2"/>
        <w:spacing w:after="120" w:before="280"/>
      </w:pPr>
      <w:r>
        <w:rPr>
          <w:rFonts w:ascii="Arial" w:cs="Arial" w:eastAsia="Arial" w:hAnsi="Arial"/>
          <w:b/>
          <w:bCs/>
          <w:color w:val="7B1538"/>
          <w:sz w:val="28"/>
          <w:szCs w:val="28"/>
        </w:rPr>
        <w:t xml:space="preserve">11.4 Foreign Income Layer (where applicable)</w:t>
      </w:r>
    </w:p>
    <w:p>
      <w:pPr>
        <w:pStyle w:val="ListParagraph"/>
        <w:numPr>
          <w:ilvl w:val="0"/>
          <w:numId w:val="2"/>
        </w:numPr>
        <w:spacing w:after="30" w:before="30" w:line="280"/>
      </w:pPr>
      <w:r>
        <w:rPr>
          <w:sz w:val="22"/>
          <w:szCs w:val="22"/>
        </w:rPr>
        <w:t xml:space="preserve">Verified FITO cap calculation correct under s 770-75.</w:t>
      </w:r>
    </w:p>
    <w:p>
      <w:pPr>
        <w:pStyle w:val="ListParagraph"/>
        <w:numPr>
          <w:ilvl w:val="0"/>
          <w:numId w:val="2"/>
        </w:numPr>
        <w:spacing w:after="30" w:before="30" w:line="280"/>
      </w:pPr>
      <w:r>
        <w:rPr>
          <w:sz w:val="22"/>
          <w:szCs w:val="22"/>
        </w:rPr>
        <w:t xml:space="preserve">Confirmed order of operations: averaging before FITO.</w:t>
      </w:r>
    </w:p>
    <w:p>
      <w:pPr>
        <w:pStyle w:val="ListParagraph"/>
        <w:numPr>
          <w:ilvl w:val="0"/>
          <w:numId w:val="2"/>
        </w:numPr>
        <w:spacing w:after="30" w:before="30" w:line="280"/>
      </w:pPr>
      <w:r>
        <w:rPr>
          <w:sz w:val="22"/>
          <w:szCs w:val="22"/>
        </w:rPr>
        <w:t xml:space="preserve">Verified foreign tax certificates on file.</w:t>
      </w:r>
    </w:p>
    <w:p>
      <w:pPr>
        <w:pStyle w:val="ListParagraph"/>
        <w:numPr>
          <w:ilvl w:val="0"/>
          <w:numId w:val="2"/>
        </w:numPr>
        <w:spacing w:after="30" w:before="30" w:line="280"/>
      </w:pPr>
      <w:r>
        <w:rPr>
          <w:sz w:val="22"/>
          <w:szCs w:val="22"/>
        </w:rPr>
        <w:t xml:space="preserve">Verified foreign currency translation methodology consistent with prior years.</w:t>
      </w:r>
    </w:p>
    <w:p>
      <w:pPr>
        <w:pStyle w:val="Heading2"/>
        <w:spacing w:after="120" w:before="280"/>
      </w:pPr>
      <w:r>
        <w:rPr>
          <w:rFonts w:ascii="Arial" w:cs="Arial" w:eastAsia="Arial" w:hAnsi="Arial"/>
          <w:b/>
          <w:bCs/>
          <w:color w:val="7B1538"/>
          <w:sz w:val="28"/>
          <w:szCs w:val="28"/>
        </w:rPr>
        <w:t xml:space="preserve">11.5 Documentation Layer</w:t>
      </w:r>
    </w:p>
    <w:p>
      <w:pPr>
        <w:pStyle w:val="ListParagraph"/>
        <w:numPr>
          <w:ilvl w:val="0"/>
          <w:numId w:val="2"/>
        </w:numPr>
        <w:spacing w:after="30" w:before="30" w:line="280"/>
      </w:pPr>
      <w:r>
        <w:rPr>
          <w:sz w:val="22"/>
          <w:szCs w:val="22"/>
        </w:rPr>
        <w:t xml:space="preserve">Workpaper complete, signed by preparer, dated.</w:t>
      </w:r>
    </w:p>
    <w:p>
      <w:pPr>
        <w:pStyle w:val="ListParagraph"/>
        <w:numPr>
          <w:ilvl w:val="0"/>
          <w:numId w:val="2"/>
        </w:numPr>
        <w:spacing w:after="30" w:before="30" w:line="280"/>
      </w:pPr>
      <w:r>
        <w:rPr>
          <w:sz w:val="22"/>
          <w:szCs w:val="22"/>
        </w:rPr>
        <w:t xml:space="preserve">Materiality of averaging benefit noted on cover.</w:t>
      </w:r>
    </w:p>
    <w:p>
      <w:pPr>
        <w:pStyle w:val="ListParagraph"/>
        <w:numPr>
          <w:ilvl w:val="0"/>
          <w:numId w:val="2"/>
        </w:numPr>
        <w:spacing w:after="30" w:before="30" w:line="280"/>
      </w:pPr>
      <w:r>
        <w:rPr>
          <w:sz w:val="22"/>
          <w:szCs w:val="22"/>
        </w:rPr>
        <w:t xml:space="preserve">Any unusual items (publishing advance, sync windfall, catalogue sale, etc.) flagged with narrative explanation.</w:t>
      </w:r>
    </w:p>
    <w:p>
      <w:pPr>
        <w:pStyle w:val="ListParagraph"/>
        <w:numPr>
          <w:ilvl w:val="0"/>
          <w:numId w:val="2"/>
        </w:numPr>
        <w:spacing w:after="30" w:before="30" w:line="280"/>
      </w:pPr>
      <w:r>
        <w:rPr>
          <w:sz w:val="22"/>
          <w:szCs w:val="22"/>
        </w:rPr>
        <w:t xml:space="preserve">BAS variance, if material, investigated and resolved.</w:t>
      </w:r>
    </w:p>
    <w:p>
      <w:pPr>
        <w:pStyle w:val="ListParagraph"/>
        <w:numPr>
          <w:ilvl w:val="0"/>
          <w:numId w:val="2"/>
        </w:numPr>
        <w:spacing w:after="30" w:before="30" w:line="280"/>
      </w:pPr>
      <w:r>
        <w:rPr>
          <w:sz w:val="22"/>
          <w:szCs w:val="22"/>
        </w:rPr>
        <w:t xml:space="preserve">Client communication letter drafted (where averaging benefit material to client conversation).</w:t>
      </w:r>
    </w:p>
    <w:p>
      <w:pPr>
        <w:pStyle w:val="Heading2"/>
        <w:spacing w:after="120" w:before="280"/>
      </w:pPr>
      <w:r>
        <w:rPr>
          <w:rFonts w:ascii="Arial" w:cs="Arial" w:eastAsia="Arial" w:hAnsi="Arial"/>
          <w:b/>
          <w:bCs/>
          <w:color w:val="7B1538"/>
          <w:sz w:val="28"/>
          <w:szCs w:val="28"/>
        </w:rPr>
        <w:t xml:space="preserve">11.6 Sign-Off</w:t>
      </w:r>
    </w:p>
    <w:p>
      <w:pPr>
        <w:pStyle w:val="ListParagraph"/>
        <w:numPr>
          <w:ilvl w:val="0"/>
          <w:numId w:val="2"/>
        </w:numPr>
        <w:spacing w:after="30" w:before="30" w:line="280"/>
      </w:pPr>
      <w:r>
        <w:rPr>
          <w:sz w:val="22"/>
          <w:szCs w:val="22"/>
        </w:rPr>
        <w:t xml:space="preserve">Reviewer signature and date.</w:t>
      </w:r>
    </w:p>
    <w:p>
      <w:pPr>
        <w:pStyle w:val="ListParagraph"/>
        <w:numPr>
          <w:ilvl w:val="0"/>
          <w:numId w:val="2"/>
        </w:numPr>
        <w:spacing w:after="30" w:before="30" w:line="280"/>
      </w:pPr>
      <w:r>
        <w:rPr>
          <w:sz w:val="22"/>
          <w:szCs w:val="22"/>
        </w:rPr>
        <w:t xml:space="preserve">Open items resolved before partner sign-off.</w:t>
      </w:r>
    </w:p>
    <w:p>
      <w:pPr>
        <w:pStyle w:val="ListParagraph"/>
        <w:numPr>
          <w:ilvl w:val="0"/>
          <w:numId w:val="2"/>
        </w:numPr>
        <w:spacing w:after="30" w:before="30" w:line="280"/>
      </w:pPr>
      <w:r>
        <w:rPr>
          <w:sz w:val="22"/>
          <w:szCs w:val="22"/>
        </w:rPr>
        <w:t xml:space="preserve">Reviewer notes for next year (catalogue sale flagged for Y+1, foreign tour planned, etc.).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375623" w:sz="8"/>
              <w:left w:val="single" w:color="375623" w:sz="24"/>
              <w:bottom w:val="single" w:color="375623" w:sz="8"/>
              <w:right w:val="single" w:color="375623" w:sz="8"/>
            </w:tcBorders>
            <w:shd w:fill="E2EFDA" w:color="auto" w:val="clear"/>
            <w:tcMar>
              <w:top w:type="dxa" w:w="160"/>
              <w:left w:type="dxa" w:w="220"/>
              <w:bottom w:type="dxa" w:w="160"/>
              <w:right w:type="dxa" w:w="200"/>
            </w:tcMar>
          </w:tcPr>
          <w:p>
            <w:pPr>
              <w:spacing w:after="80" w:before="0"/>
            </w:pPr>
            <w:r>
              <w:rPr>
                <w:b/>
                <w:bCs/>
                <w:color w:val="375623"/>
                <w:sz w:val="22"/>
                <w:szCs w:val="22"/>
              </w:rPr>
              <w:t xml:space="preserve">Reviewer Mindset</w:t>
            </w:r>
          </w:p>
          <w:p>
            <w:pPr>
              <w:spacing w:after="40" w:before="40"/>
            </w:pPr>
            <w:r>
              <w:rPr>
                <w:sz w:val="22"/>
                <w:szCs w:val="22"/>
              </w:rPr>
              <w:t xml:space="preserve">When you sign off a musician's averaging file, you are not just confirming arithmetic. You are accepting professional responsibility for an income classification that the ATO may revisit if the client is later audited. Your sign-off should reflect that the workpaper would withstand independent scrutiny. If you cannot defend a TPI line, refer back to the preparer for additional substantiation before signing.</w:t>
            </w:r>
          </w:p>
        </w:tc>
      </w:tr>
    </w:tbl>
    <w:p>
      <w:pPr>
        <w:pStyle w:val="Heading1"/>
        <w:pageBreakBefore/>
        <w:spacing w:after="180" w:before="360"/>
      </w:pPr>
      <w:r>
        <w:rPr>
          <w:rFonts w:ascii="Arial" w:cs="Arial" w:eastAsia="Arial" w:hAnsi="Arial"/>
          <w:b/>
          <w:bCs/>
          <w:color w:val="7B1538"/>
          <w:sz w:val="36"/>
          <w:szCs w:val="36"/>
        </w:rPr>
        <w:t xml:space="preserve">Appendix A: Music Industry 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Term</w:t>
            </w:r>
          </w:p>
        </w:tc>
        <w:tc>
          <w:tcPr>
            <w:tcW w:type="dxa" w:w="69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Meaning</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AASPI</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Above-average special professional income: the portion of current year TPI exceeding the average of the prior four years. Subject of the Division 405 averaging adjustment.</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APRA AMCOS</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Australasian Performing Right Association and Australasian Mechanical Copyright Owners Society: combined collecting society for performance and mechanical royalties.</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ARIA</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Australian Recording Industry Association: industry body for charts, awards, certification. Not a collecting society.</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Author (Div 405 sense)</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Under s 405-25(2), the creator of a literary, dramatic, musical, or artistic work. Composers and songwriters qualify.</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DSP</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Digital service provider: streaming and download platforms such as Spotify, Apple Music, YouTube Music.</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FITO</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Foreign income tax offset under Division 770 of ITAA 1997: a tax offset for foreign tax paid on assessable foreign income.</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Master use licence</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 licence to use a specific sound recording (the 'master'). Distinct from a synchronisation licence, which is the licence to use the underlying composition.</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Mechanical royalty</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Royalty for the reproduction of a musical work in physical or digital media.</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Neighbouring rights</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The rights of performers and producers of sound recordings (as distinct from songwriter rights). Administered in Australia by PPCA.</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Performance royalty</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Royalty for the public performance, broadcast, or communication of a musical work. Administered by APRA.</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Performing artist (Div 405 sense)</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Under s 405-25(3), an individual who performs or appears in a performance before an audience.</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PPCA</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Phonographic Performance Company of Australia: collects neighbouring rights royalties on behalf of performers and record labels.</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Production associate (Div 405 sense)</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Under s 405-25(4), an individual who provides artistic support to a performance or production of a sound recording.</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Publishing advance</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An upfront payment from a music publisher to a songwriter, recoupable against future royalties. Usually assessable on receipt under Australian tax law.</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Sync (synchronisation) licence</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 licence to use a musical composition in synchronisation with a visual work (film, television, advertisement, video game).</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TPI</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Taxable professional income under Division 405: assessable income from a special professional activity, reduced by directly attributable deductions.</w:t>
            </w:r>
          </w:p>
        </w:tc>
      </w:tr>
      <w:tr>
        <w:tc>
          <w:tcPr>
            <w:tcW w:type="dxa" w:w="24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DTA</w:t>
            </w:r>
          </w:p>
        </w:tc>
        <w:tc>
          <w:tcPr>
            <w:tcW w:type="dxa" w:w="69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Double tax agreement (also tax treaty): allocates taxing rights between Australia and a treaty partner country.</w:t>
            </w:r>
          </w:p>
        </w:tc>
      </w:tr>
      <w:tr>
        <w:tc>
          <w:tcPr>
            <w:tcW w:type="dxa" w:w="24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1042-S</w:t>
            </w:r>
          </w:p>
        </w:tc>
        <w:tc>
          <w:tcPr>
            <w:tcW w:type="dxa" w:w="69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United States tax form issued by US payers to non-resident recipients (including Australian touring artists) showing US-source income and withholding tax.</w:t>
            </w:r>
          </w:p>
        </w:tc>
      </w:tr>
    </w:tbl>
    <w:p>
      <w:pPr>
        <w:pStyle w:val="Heading1"/>
        <w:pageBreakBefore/>
        <w:spacing w:after="180" w:before="360"/>
      </w:pPr>
      <w:r>
        <w:rPr>
          <w:rFonts w:ascii="Arial" w:cs="Arial" w:eastAsia="Arial" w:hAnsi="Arial"/>
          <w:b/>
          <w:bCs/>
          <w:color w:val="7B1538"/>
          <w:sz w:val="36"/>
          <w:szCs w:val="36"/>
        </w:rPr>
        <w:t xml:space="preserve">Appendix B: Frequently Asked Questions</w:t>
      </w:r>
    </w:p>
    <w:p>
      <w:pPr>
        <w:pStyle w:val="Heading3"/>
        <w:spacing w:after="80" w:before="200"/>
      </w:pPr>
      <w:r>
        <w:rPr>
          <w:rFonts w:ascii="Arial" w:cs="Arial" w:eastAsia="Arial" w:hAnsi="Arial"/>
          <w:b/>
          <w:bCs/>
          <w:color w:val="1B2D5C"/>
          <w:sz w:val="24"/>
          <w:szCs w:val="24"/>
        </w:rPr>
        <w:t xml:space="preserve">Q1. My client is a music teacher with a small amount of gigging income. Can she access averaging?</w:t>
      </w:r>
    </w:p>
    <w:p>
      <w:pPr>
        <w:spacing w:after="60" w:before="60" w:line="300"/>
        <w:jc w:val="both"/>
      </w:pPr>
      <w:r>
        <w:rPr>
          <w:b w:val="false"/>
          <w:bCs w:val="false"/>
          <w:i w:val="false"/>
          <w:iCs w:val="false"/>
          <w:color w:val="000000"/>
          <w:sz w:val="22"/>
          <w:szCs w:val="22"/>
        </w:rPr>
        <w:t xml:space="preserve">Yes, but only to the extent her TPI (from the gigging) reaches the $2,500 threshold and she has not become eligible in a prior year for the first time. The teaching income remains non-TPI and is taxed at ordinary rates. Document the apportionment clearly: a reviewer will check that teaching has not been swept into TPI.</w:t>
      </w:r>
    </w:p>
    <w:p>
      <w:pPr>
        <w:pStyle w:val="Heading3"/>
        <w:spacing w:after="80" w:before="200"/>
      </w:pPr>
      <w:r>
        <w:rPr>
          <w:rFonts w:ascii="Arial" w:cs="Arial" w:eastAsia="Arial" w:hAnsi="Arial"/>
          <w:b/>
          <w:bCs/>
          <w:color w:val="1B2D5C"/>
          <w:sz w:val="24"/>
          <w:szCs w:val="24"/>
        </w:rPr>
        <w:t xml:space="preserve">Q2. The client's first year above $2,500 was eight years ago, but she didn't lodge averaging until two years ago. Can we go back?</w:t>
      </w:r>
    </w:p>
    <w:p>
      <w:pPr>
        <w:spacing w:after="60" w:before="60" w:line="300"/>
        <w:jc w:val="both"/>
      </w:pPr>
      <w:r>
        <w:rPr>
          <w:b w:val="false"/>
          <w:bCs w:val="false"/>
          <w:i w:val="false"/>
          <w:iCs w:val="false"/>
          <w:color w:val="000000"/>
          <w:sz w:val="22"/>
          <w:szCs w:val="22"/>
        </w:rPr>
        <w:t xml:space="preserve">Amendment of prior returns is limited to the standard period under section 170 of ITAA 1936 (two years for most individuals, four years where business income or complexity warrants). Returns outside the amendment window are closed. Discuss with the partner and the client: a closed window means the benefit for those years is permanently lost.</w:t>
      </w:r>
    </w:p>
    <w:p>
      <w:pPr>
        <w:pStyle w:val="Heading3"/>
        <w:spacing w:after="80" w:before="200"/>
      </w:pPr>
      <w:r>
        <w:rPr>
          <w:rFonts w:ascii="Arial" w:cs="Arial" w:eastAsia="Arial" w:hAnsi="Arial"/>
          <w:b/>
          <w:bCs/>
          <w:color w:val="1B2D5C"/>
          <w:sz w:val="24"/>
          <w:szCs w:val="24"/>
        </w:rPr>
        <w:t xml:space="preserve">Q3. The client received a $300,000 catalogue sale. Is it TPI or capital?</w:t>
      </w:r>
    </w:p>
    <w:p>
      <w:pPr>
        <w:spacing w:after="60" w:before="60" w:line="300"/>
        <w:jc w:val="both"/>
      </w:pPr>
      <w:r>
        <w:rPr>
          <w:b w:val="false"/>
          <w:bCs w:val="false"/>
          <w:i w:val="false"/>
          <w:iCs w:val="false"/>
          <w:color w:val="000000"/>
          <w:sz w:val="22"/>
          <w:szCs w:val="22"/>
        </w:rPr>
        <w:t xml:space="preserve">It depends on the character of the receipt. If the sale is a one-off realisation of a long-held catalogue, it may be capital, attracting CGT (with a possible small business CGT concession if eligibility met). If the client habitually buys and sells music rights as part of a business, it may be income. The contract, the holding period, and the client's overall business pattern all matter. Refer the question to a senior or partner: do not assume.</w:t>
      </w:r>
    </w:p>
    <w:p>
      <w:pPr>
        <w:pStyle w:val="Heading3"/>
        <w:spacing w:after="80" w:before="200"/>
      </w:pPr>
      <w:r>
        <w:rPr>
          <w:rFonts w:ascii="Arial" w:cs="Arial" w:eastAsia="Arial" w:hAnsi="Arial"/>
          <w:b/>
          <w:bCs/>
          <w:color w:val="1B2D5C"/>
          <w:sz w:val="24"/>
          <w:szCs w:val="24"/>
        </w:rPr>
        <w:t xml:space="preserve">Q4. Are streaming royalties really TPI? The amounts are tiny per stream.</w:t>
      </w:r>
    </w:p>
    <w:p>
      <w:pPr>
        <w:spacing w:after="60" w:before="60" w:line="300"/>
        <w:jc w:val="both"/>
      </w:pPr>
      <w:r>
        <w:rPr>
          <w:b w:val="false"/>
          <w:bCs w:val="false"/>
          <w:i w:val="false"/>
          <w:iCs w:val="false"/>
          <w:color w:val="000000"/>
          <w:sz w:val="22"/>
          <w:szCs w:val="22"/>
        </w:rPr>
        <w:t xml:space="preserve">Yes. Streaming royalties derive from the public performance and mechanical reproduction of the recording, both of which qualify under s 405-25. The fact that individual streams pay fractions of a cent does not change the character: in aggregate, streaming royalties are TPI.</w:t>
      </w:r>
    </w:p>
    <w:p>
      <w:pPr>
        <w:pStyle w:val="Heading3"/>
        <w:spacing w:after="80" w:before="200"/>
      </w:pPr>
      <w:r>
        <w:rPr>
          <w:rFonts w:ascii="Arial" w:cs="Arial" w:eastAsia="Arial" w:hAnsi="Arial"/>
          <w:b/>
          <w:bCs/>
          <w:color w:val="1B2D5C"/>
          <w:sz w:val="24"/>
          <w:szCs w:val="24"/>
        </w:rPr>
        <w:t xml:space="preserve">Q5. My client received a Creative Australia grant of $40,000 for an album. Is it TPI?</w:t>
      </w:r>
    </w:p>
    <w:p>
      <w:pPr>
        <w:spacing w:after="60" w:before="60" w:line="300"/>
        <w:jc w:val="both"/>
      </w:pPr>
      <w:r>
        <w:rPr>
          <w:b w:val="false"/>
          <w:bCs w:val="false"/>
          <w:i w:val="false"/>
          <w:iCs w:val="false"/>
          <w:color w:val="000000"/>
          <w:sz w:val="22"/>
          <w:szCs w:val="22"/>
        </w:rPr>
        <w:t xml:space="preserve">Most artistic grants are assessable income if they support the recipient's professional activity. If the activity is the qualifying activity (composing, performing, producing), the grant forms part of TPI. There is a narrow class of honorific or prize-character grants that are not assessable: refer the question if you are unsure.</w:t>
      </w:r>
    </w:p>
    <w:p>
      <w:pPr>
        <w:pStyle w:val="Heading3"/>
        <w:spacing w:after="80" w:before="200"/>
      </w:pPr>
      <w:r>
        <w:rPr>
          <w:rFonts w:ascii="Arial" w:cs="Arial" w:eastAsia="Arial" w:hAnsi="Arial"/>
          <w:b/>
          <w:bCs/>
          <w:color w:val="1B2D5C"/>
          <w:sz w:val="24"/>
          <w:szCs w:val="24"/>
        </w:rPr>
        <w:t xml:space="preserve">Q6. The client's band operates as a partnership. How do we apply averaging?</w:t>
      </w:r>
    </w:p>
    <w:p>
      <w:pPr>
        <w:spacing w:after="60" w:before="60" w:line="300"/>
        <w:jc w:val="both"/>
      </w:pPr>
      <w:r>
        <w:rPr>
          <w:b w:val="false"/>
          <w:bCs w:val="false"/>
          <w:i w:val="false"/>
          <w:iCs w:val="false"/>
          <w:color w:val="000000"/>
          <w:sz w:val="22"/>
          <w:szCs w:val="22"/>
        </w:rPr>
        <w:t xml:space="preserve">Each partner computes their own TPI based on their share of partnership net income that derives from qualifying activity. Eligibility (first year, threshold) is determined for each partner individually. The partnership itself does not access averaging.</w:t>
      </w:r>
    </w:p>
    <w:p>
      <w:pPr>
        <w:pStyle w:val="Heading3"/>
        <w:spacing w:after="80" w:before="200"/>
      </w:pPr>
      <w:r>
        <w:rPr>
          <w:rFonts w:ascii="Arial" w:cs="Arial" w:eastAsia="Arial" w:hAnsi="Arial"/>
          <w:b/>
          <w:bCs/>
          <w:color w:val="1B2D5C"/>
          <w:sz w:val="24"/>
          <w:szCs w:val="24"/>
        </w:rPr>
        <w:t xml:space="preserve">Q7. The client has a one-off endorsement deal with an instrument manufacturer. Is the endorsement income TPI?</w:t>
      </w:r>
    </w:p>
    <w:p>
      <w:pPr>
        <w:spacing w:after="60" w:before="60" w:line="300"/>
        <w:jc w:val="both"/>
      </w:pPr>
      <w:r>
        <w:rPr>
          <w:b w:val="false"/>
          <w:bCs w:val="false"/>
          <w:i w:val="false"/>
          <w:iCs w:val="false"/>
          <w:color w:val="000000"/>
          <w:sz w:val="22"/>
          <w:szCs w:val="22"/>
        </w:rPr>
        <w:t xml:space="preserve">Generally yes, if the endorsement is conditional on the client's performing or recording activity (such as a promotional appearance schedule, social media posts featuring performances, or product use during gigs). A passive 'name licence' for which the client does nothing may not be TPI: read the contract.</w:t>
      </w:r>
    </w:p>
    <w:p>
      <w:pPr>
        <w:pStyle w:val="Heading3"/>
        <w:spacing w:after="80" w:before="200"/>
      </w:pPr>
      <w:r>
        <w:rPr>
          <w:rFonts w:ascii="Arial" w:cs="Arial" w:eastAsia="Arial" w:hAnsi="Arial"/>
          <w:b/>
          <w:bCs/>
          <w:color w:val="1B2D5C"/>
          <w:sz w:val="24"/>
          <w:szCs w:val="24"/>
        </w:rPr>
        <w:t xml:space="preserve">Q8. My client is going overseas to live for two years to study and tour. Will averaging still apply?</w:t>
      </w:r>
    </w:p>
    <w:p>
      <w:pPr>
        <w:spacing w:after="60" w:before="60" w:line="300"/>
        <w:jc w:val="both"/>
      </w:pPr>
      <w:r>
        <w:rPr>
          <w:b w:val="false"/>
          <w:bCs w:val="false"/>
          <w:i w:val="false"/>
          <w:iCs w:val="false"/>
          <w:color w:val="000000"/>
          <w:sz w:val="22"/>
          <w:szCs w:val="22"/>
        </w:rPr>
        <w:t xml:space="preserve">Only while she remains an Australian tax resident. If she becomes a non-resident, Division 405 ceases to apply. Source-country tax will apply in the new residence; Australia loses jurisdiction over the foreign income. Carefully analyse residency: a planned two-year departure with a clear intention to return may or may not break residency depending on the facts.</w:t>
      </w:r>
    </w:p>
    <w:p>
      <w:pPr>
        <w:pStyle w:val="Heading3"/>
        <w:spacing w:after="80" w:before="200"/>
      </w:pPr>
      <w:r>
        <w:rPr>
          <w:rFonts w:ascii="Arial" w:cs="Arial" w:eastAsia="Arial" w:hAnsi="Arial"/>
          <w:b/>
          <w:bCs/>
          <w:color w:val="1B2D5C"/>
          <w:sz w:val="24"/>
          <w:szCs w:val="24"/>
        </w:rPr>
        <w:t xml:space="preserve">Q9. The averaging benefit reduces the client's HELP repayment income. Does that affect HELP?</w:t>
      </w:r>
    </w:p>
    <w:p>
      <w:pPr>
        <w:spacing w:after="60" w:before="60" w:line="300"/>
        <w:jc w:val="both"/>
      </w:pPr>
      <w:r>
        <w:rPr>
          <w:b w:val="false"/>
          <w:bCs w:val="false"/>
          <w:i w:val="false"/>
          <w:iCs w:val="false"/>
          <w:color w:val="000000"/>
          <w:sz w:val="22"/>
          <w:szCs w:val="22"/>
        </w:rPr>
        <w:t xml:space="preserve">HELP repayment income is based on taxable income plus various add-backs, not the tax payable. Averaging changes the tax but does not directly change the HELP repayment income calculation. The repayment threshold is hit based on the income figure, not the after-tax position.</w:t>
      </w:r>
    </w:p>
    <w:p>
      <w:pPr>
        <w:pStyle w:val="Heading3"/>
        <w:spacing w:after="80" w:before="200"/>
      </w:pPr>
      <w:r>
        <w:rPr>
          <w:rFonts w:ascii="Arial" w:cs="Arial" w:eastAsia="Arial" w:hAnsi="Arial"/>
          <w:b/>
          <w:bCs/>
          <w:color w:val="1B2D5C"/>
          <w:sz w:val="24"/>
          <w:szCs w:val="24"/>
        </w:rPr>
        <w:t xml:space="preserve">Q10. The client's Y3 return is wrong. Should we elect into averaging when amending?</w:t>
      </w:r>
    </w:p>
    <w:p>
      <w:pPr>
        <w:spacing w:after="60" w:before="60" w:line="300"/>
        <w:jc w:val="both"/>
      </w:pPr>
      <w:r>
        <w:rPr>
          <w:b w:val="false"/>
          <w:bCs w:val="false"/>
          <w:i w:val="false"/>
          <w:iCs w:val="false"/>
          <w:color w:val="000000"/>
          <w:sz w:val="22"/>
          <w:szCs w:val="22"/>
        </w:rPr>
        <w:t xml:space="preserve">Yes, if eligibility existed in Y3 and the amendment is within the section 170 amendment period. The amendment should incorporate averaging as it would have been claimed originally. Document the rationale on the workpaper.</w:t>
      </w:r>
    </w:p>
    <w:p>
      <w:pPr>
        <w:pStyle w:val="Heading3"/>
        <w:spacing w:after="80" w:before="200"/>
      </w:pPr>
      <w:r>
        <w:rPr>
          <w:rFonts w:ascii="Arial" w:cs="Arial" w:eastAsia="Arial" w:hAnsi="Arial"/>
          <w:b/>
          <w:bCs/>
          <w:color w:val="1B2D5C"/>
          <w:sz w:val="24"/>
          <w:szCs w:val="24"/>
        </w:rPr>
        <w:t xml:space="preserve">Q11. What does 'directly attributable' mean for deductions against TPI?</w:t>
      </w:r>
    </w:p>
    <w:p>
      <w:pPr>
        <w:spacing w:after="60" w:before="60" w:line="300"/>
        <w:jc w:val="both"/>
      </w:pPr>
      <w:r>
        <w:rPr>
          <w:b w:val="false"/>
          <w:bCs w:val="false"/>
          <w:i w:val="false"/>
          <w:iCs w:val="false"/>
          <w:color w:val="000000"/>
          <w:sz w:val="22"/>
          <w:szCs w:val="22"/>
        </w:rPr>
        <w:t xml:space="preserve">Deductions that would not have been incurred but for the qualifying activity. Examples include manager and agent commissions, tour expenses, recording costs, instrument depreciation, sheet music, professional development. General overheads (home office, accounting fees) are not directly attributable and remain general deductions in computing taxable income but do not reduce TPI.</w:t>
      </w:r>
    </w:p>
    <w:p>
      <w:pPr>
        <w:pStyle w:val="Heading3"/>
        <w:spacing w:after="80" w:before="200"/>
      </w:pPr>
      <w:r>
        <w:rPr>
          <w:rFonts w:ascii="Arial" w:cs="Arial" w:eastAsia="Arial" w:hAnsi="Arial"/>
          <w:b/>
          <w:bCs/>
          <w:color w:val="1B2D5C"/>
          <w:sz w:val="24"/>
          <w:szCs w:val="24"/>
        </w:rPr>
        <w:t xml:space="preserve">Q12. The client lost money in Y2. Does the negative TPI affect the average?</w:t>
      </w:r>
    </w:p>
    <w:p>
      <w:pPr>
        <w:spacing w:after="60" w:before="60" w:line="300"/>
        <w:jc w:val="both"/>
      </w:pPr>
      <w:r>
        <w:rPr>
          <w:b w:val="false"/>
          <w:bCs w:val="false"/>
          <w:i w:val="false"/>
          <w:iCs w:val="false"/>
          <w:color w:val="000000"/>
          <w:sz w:val="22"/>
          <w:szCs w:val="22"/>
        </w:rPr>
        <w:t xml:space="preserve">TPI cannot be negative for averaging purposes: it is treated as zero in any year where deductions exceed assessable income from qualifying activity. The zero figure is then included in the four-year average. The overall tax loss is preserved separately under the standard loss provisions.</w:t>
      </w:r>
    </w:p>
    <w:p>
      <w:pPr>
        <w:pStyle w:val="Heading1"/>
        <w:pageBreakBefore/>
        <w:spacing w:after="180" w:before="360"/>
      </w:pPr>
      <w:r>
        <w:rPr>
          <w:rFonts w:ascii="Arial" w:cs="Arial" w:eastAsia="Arial" w:hAnsi="Arial"/>
          <w:b/>
          <w:bCs/>
          <w:color w:val="7B1538"/>
          <w:sz w:val="36"/>
          <w:szCs w:val="36"/>
        </w:rPr>
        <w:t xml:space="preserve">Appendix C: Quick Reference: AASPI Calculation</w:t>
      </w:r>
    </w:p>
    <w:p>
      <w:pPr>
        <w:pStyle w:val="Heading2"/>
        <w:spacing w:after="120" w:before="280"/>
      </w:pPr>
      <w:r>
        <w:rPr>
          <w:rFonts w:ascii="Arial" w:cs="Arial" w:eastAsia="Arial" w:hAnsi="Arial"/>
          <w:b/>
          <w:bCs/>
          <w:color w:val="7B1538"/>
          <w:sz w:val="28"/>
          <w:szCs w:val="28"/>
        </w:rPr>
        <w:t xml:space="preserve">Step-by-Step</w:t>
      </w:r>
    </w:p>
    <w:p>
      <w:pPr>
        <w:pStyle w:val="ListParagraph"/>
        <w:numPr>
          <w:ilvl w:val="0"/>
          <w:numId w:val="3"/>
        </w:numPr>
        <w:spacing w:after="30" w:before="30" w:line="280"/>
      </w:pPr>
      <w:r>
        <w:rPr>
          <w:sz w:val="22"/>
          <w:szCs w:val="22"/>
        </w:rPr>
        <w:t xml:space="preserve">Determine whether the client is a special professional in the current year: TPI of at least $2,500 from a qualifying activity.</w:t>
      </w:r>
    </w:p>
    <w:p>
      <w:pPr>
        <w:pStyle w:val="ListParagraph"/>
        <w:numPr>
          <w:ilvl w:val="0"/>
          <w:numId w:val="3"/>
        </w:numPr>
        <w:spacing w:after="30" w:before="30" w:line="280"/>
      </w:pPr>
      <w:r>
        <w:rPr>
          <w:sz w:val="22"/>
          <w:szCs w:val="22"/>
        </w:rPr>
        <w:t xml:space="preserve">Identify the first qualifying year: the first year in which TPI reached $2,500 from a qualifying activity. This year is the base year.</w:t>
      </w:r>
    </w:p>
    <w:p>
      <w:pPr>
        <w:pStyle w:val="ListParagraph"/>
        <w:numPr>
          <w:ilvl w:val="0"/>
          <w:numId w:val="3"/>
        </w:numPr>
        <w:spacing w:after="30" w:before="30" w:line="280"/>
      </w:pPr>
      <w:r>
        <w:rPr>
          <w:sz w:val="22"/>
          <w:szCs w:val="22"/>
        </w:rPr>
        <w:t xml:space="preserve">Compute TPI for the current year: assessable income from qualifying activity minus directly attributable deductions.</w:t>
      </w:r>
    </w:p>
    <w:p>
      <w:pPr>
        <w:pStyle w:val="ListParagraph"/>
        <w:numPr>
          <w:ilvl w:val="0"/>
          <w:numId w:val="3"/>
        </w:numPr>
        <w:spacing w:after="30" w:before="30" w:line="280"/>
      </w:pPr>
      <w:r>
        <w:rPr>
          <w:sz w:val="22"/>
          <w:szCs w:val="22"/>
        </w:rPr>
        <w:t xml:space="preserve">Compute average TPI: simple average of prior four years' TPI (use zero for any year before the first qualifying year or any year below the threshold).</w:t>
      </w:r>
    </w:p>
    <w:p>
      <w:pPr>
        <w:pStyle w:val="ListParagraph"/>
        <w:numPr>
          <w:ilvl w:val="0"/>
          <w:numId w:val="3"/>
        </w:numPr>
        <w:spacing w:after="30" w:before="30" w:line="280"/>
      </w:pPr>
      <w:r>
        <w:rPr>
          <w:sz w:val="22"/>
          <w:szCs w:val="22"/>
        </w:rPr>
        <w:t xml:space="preserve">Compute AASPI: maximum of zero, or (current year TPI minus average TPI).</w:t>
      </w:r>
    </w:p>
    <w:p>
      <w:pPr>
        <w:pStyle w:val="ListParagraph"/>
        <w:numPr>
          <w:ilvl w:val="0"/>
          <w:numId w:val="3"/>
        </w:numPr>
        <w:spacing w:after="30" w:before="30" w:line="280"/>
      </w:pPr>
      <w:r>
        <w:rPr>
          <w:sz w:val="22"/>
          <w:szCs w:val="22"/>
        </w:rPr>
        <w:t xml:space="preserve">If AASPI is zero, no averaging applies in the current year. Return is prepared normally.</w:t>
      </w:r>
    </w:p>
    <w:p>
      <w:pPr>
        <w:pStyle w:val="ListParagraph"/>
        <w:numPr>
          <w:ilvl w:val="0"/>
          <w:numId w:val="3"/>
        </w:numPr>
        <w:spacing w:after="30" w:before="30" w:line="280"/>
      </w:pPr>
      <w:r>
        <w:rPr>
          <w:sz w:val="22"/>
          <w:szCs w:val="22"/>
        </w:rPr>
        <w:t xml:space="preserve">If AASPI is positive, the averaging adjustment applies. Tax is calculated on AASPI as if spread over five years (the comparison-rate methodology), and the adjustment is the difference between the standard tax and the averaged tax.</w:t>
      </w:r>
    </w:p>
    <w:p>
      <w:pPr>
        <w:pStyle w:val="Heading2"/>
        <w:spacing w:after="120" w:before="280"/>
      </w:pPr>
      <w:r>
        <w:rPr>
          <w:rFonts w:ascii="Arial" w:cs="Arial" w:eastAsia="Arial" w:hAnsi="Arial"/>
          <w:b/>
          <w:bCs/>
          <w:color w:val="7B1538"/>
          <w:sz w:val="28"/>
          <w:szCs w:val="28"/>
        </w:rPr>
        <w:t xml:space="preserve">Decision Triggers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Trigger</w:t>
            </w:r>
          </w:p>
        </w:tc>
        <w:tc>
          <w:tcPr>
            <w:tcW w:type="dxa" w:w="6160"/>
            <w:tcBorders>
              <w:top w:val="single" w:color="BFBFBF" w:sz="4"/>
              <w:left w:val="single" w:color="BFBFBF" w:sz="4"/>
              <w:bottom w:val="single" w:color="BFBFBF" w:sz="4"/>
              <w:right w:val="single" w:color="BFBFBF" w:sz="4"/>
            </w:tcBorders>
            <w:shd w:fill="7B1538" w:color="auto" w:val="clear"/>
            <w:tcMar>
              <w:top w:type="dxa" w:w="100"/>
              <w:left w:type="dxa" w:w="140"/>
              <w:bottom w:type="dxa" w:w="100"/>
              <w:right w:type="dxa" w:w="140"/>
            </w:tcMar>
            <w:vAlign w:val="center"/>
          </w:tcPr>
          <w:p>
            <w:pPr>
              <w:jc w:val="left"/>
            </w:pPr>
            <w:r>
              <w:rPr>
                <w:b/>
                <w:bCs/>
                <w:color w:val="FFFFFF"/>
                <w:sz w:val="20"/>
                <w:szCs w:val="20"/>
              </w:rPr>
              <w:t xml:space="preserve">Action</w:t>
            </w:r>
          </w:p>
        </w:tc>
      </w:tr>
      <w:tr>
        <w:tc>
          <w:tcPr>
            <w:tcW w:type="dxa" w:w="32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Current year TPI below $2,500</w:t>
            </w:r>
          </w:p>
        </w:tc>
        <w:tc>
          <w:tcPr>
            <w:tcW w:type="dxa" w:w="61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No averaging for the year. Continue building five-year history for future years.</w:t>
            </w:r>
          </w:p>
        </w:tc>
      </w:tr>
      <w:tr>
        <w:tc>
          <w:tcPr>
            <w:tcW w:type="dxa" w:w="32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Current year TPI at or above $2,500 but below average</w:t>
            </w:r>
          </w:p>
        </w:tc>
        <w:tc>
          <w:tcPr>
            <w:tcW w:type="dxa" w:w="61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AASPI is zero. No averaging benefit, but the year forms part of subsequent four-year averages.</w:t>
            </w:r>
          </w:p>
        </w:tc>
      </w:tr>
      <w:tr>
        <w:tc>
          <w:tcPr>
            <w:tcW w:type="dxa" w:w="32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Current year TPI above average</w:t>
            </w:r>
          </w:p>
        </w:tc>
        <w:tc>
          <w:tcPr>
            <w:tcW w:type="dxa" w:w="61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AASPI = current minus average. Apply averaging.</w:t>
            </w:r>
          </w:p>
        </w:tc>
      </w:tr>
      <w:tr>
        <w:tc>
          <w:tcPr>
            <w:tcW w:type="dxa" w:w="32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First qualifying year ever</w:t>
            </w:r>
          </w:p>
        </w:tc>
        <w:tc>
          <w:tcPr>
            <w:tcW w:type="dxa" w:w="61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Transitional rule: average TPI is treated as zero. Entire current TPI minus $2,500 floor may be AASPI.</w:t>
            </w:r>
          </w:p>
        </w:tc>
      </w:tr>
      <w:tr>
        <w:tc>
          <w:tcPr>
            <w:tcW w:type="dxa" w:w="32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Years two to four after first qualifying year</w:t>
            </w:r>
          </w:p>
        </w:tc>
        <w:tc>
          <w:tcPr>
            <w:tcW w:type="dxa" w:w="616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b w:val="false"/>
                <w:bCs w:val="false"/>
                <w:color w:val="000000"/>
                <w:sz w:val="20"/>
                <w:szCs w:val="20"/>
              </w:rPr>
              <w:t xml:space="preserve">Partial average using available prior qualifying years.</w:t>
            </w:r>
          </w:p>
        </w:tc>
      </w:tr>
      <w:tr>
        <w:tc>
          <w:tcPr>
            <w:tcW w:type="dxa" w:w="320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Year five and onwards</w:t>
            </w:r>
          </w:p>
        </w:tc>
        <w:tc>
          <w:tcPr>
            <w:tcW w:type="dxa" w:w="6160"/>
            <w:tcBorders>
              <w:top w:val="single" w:color="BFBFBF" w:sz="4"/>
              <w:left w:val="single" w:color="BFBFBF" w:sz="4"/>
              <w:bottom w:val="single" w:color="BFBFBF" w:sz="4"/>
              <w:right w:val="single" w:color="BFBFBF" w:sz="4"/>
            </w:tcBorders>
            <w:shd w:fill="F5E6EA" w:color="auto" w:val="clear"/>
            <w:tcMar>
              <w:top w:type="dxa" w:w="100"/>
              <w:left w:type="dxa" w:w="140"/>
              <w:bottom w:type="dxa" w:w="100"/>
              <w:right w:type="dxa" w:w="140"/>
            </w:tcMar>
            <w:vAlign w:val="center"/>
          </w:tcPr>
          <w:p>
            <w:pPr>
              <w:jc w:val="left"/>
            </w:pPr>
            <w:r>
              <w:rPr>
                <w:b w:val="false"/>
                <w:bCs w:val="false"/>
                <w:color w:val="000000"/>
                <w:sz w:val="20"/>
                <w:szCs w:val="20"/>
              </w:rPr>
              <w:t xml:space="preserve">Full four-year average.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06000" w:sz="8"/>
              <w:left w:val="single" w:color="806000" w:sz="24"/>
              <w:bottom w:val="single" w:color="806000" w:sz="8"/>
              <w:right w:val="single" w:color="806000" w:sz="8"/>
            </w:tcBorders>
            <w:shd w:fill="FFF4CE" w:color="auto" w:val="clear"/>
            <w:tcMar>
              <w:top w:type="dxa" w:w="160"/>
              <w:left w:type="dxa" w:w="220"/>
              <w:bottom w:type="dxa" w:w="160"/>
              <w:right w:type="dxa" w:w="200"/>
            </w:tcMar>
          </w:tcPr>
          <w:p>
            <w:pPr>
              <w:spacing w:after="80" w:before="0"/>
            </w:pPr>
            <w:r>
              <w:rPr>
                <w:b/>
                <w:bCs/>
                <w:color w:val="806000"/>
                <w:sz w:val="22"/>
                <w:szCs w:val="22"/>
              </w:rPr>
              <w:t xml:space="preserve">Final Reminder</w:t>
            </w:r>
          </w:p>
          <w:p>
            <w:pPr>
              <w:spacing w:after="40" w:before="40"/>
            </w:pPr>
            <w:r>
              <w:rPr>
                <w:sz w:val="22"/>
                <w:szCs w:val="22"/>
              </w:rPr>
              <w:t xml:space="preserve">Averaging is a statutory entitlement, not a tax planning election in the strategic sense. If the client qualifies, the firm has a professional obligation to apply it. The benefit can be substantial in a windfall year (often $10,000 to $30,000 or more on a major sync or breakthrough album). Missing the entitlement is a service quality issue, not a client preference.</w:t>
            </w:r>
          </w:p>
        </w:tc>
      </w:tr>
    </w:tbl>
    <w:p>
      <w:pPr>
        <w:spacing w:before="600"/>
        <w:jc w:val="center"/>
      </w:pPr>
      <w:r>
        <w:rPr>
          <w:b/>
          <w:bCs/>
          <w:i/>
          <w:iCs/>
          <w:color w:val="7B1538"/>
          <w:sz w:val="24"/>
          <w:szCs w:val="24"/>
        </w:rPr>
        <w:t xml:space="preserve">End of Musician Industry Guide</w:t>
      </w:r>
    </w:p>
    <w:p>
      <w:pPr>
        <w:spacing w:before="200"/>
        <w:jc w:val="center"/>
      </w:pPr>
      <w:r>
        <w:rPr>
          <w:i/>
          <w:iCs/>
          <w:color w:val="595959"/>
          <w:sz w:val="20"/>
          <w:szCs w:val="20"/>
        </w:rPr>
        <w:t xml:space="preserve">Carisma Solutions Confidential</w:t>
      </w:r>
    </w:p>
    <w:sectPr>
      <w:headerReference w:type="default" r:id="rId7"/>
      <w:footerReference w:type="default" r:id="rId8"/>
      <w:pgSz w:w="12240" w:h="15840" w:orient="portrait"/>
      <w:pgMar w:top="1700" w:right="1440" w:bottom="1440" w:left="1440" w:header="72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B1538" w:sz="6" w:space="4"/>
      </w:pBdr>
      <w:jc w:val="center"/>
    </w:pPr>
    <w:r>
      <w:rPr>
        <w:color w:val="595959"/>
        <w:sz w:val="18"/>
        <w:szCs w:val="18"/>
      </w:rPr>
      <w:t xml:space="preserve">Page </w:t>
    </w:r>
    <w:r>
      <w:rPr>
        <w:color w:val="595959"/>
        <w:sz w:val="18"/>
        <w:szCs w:val="18"/>
      </w:rPr>
      <w:fldChar w:fldCharType="begin"/>
      <w:instrText xml:space="preserve">PAGE</w:instrText>
      <w:fldChar w:fldCharType="separate"/>
      <w:fldChar w:fldCharType="end"/>
    </w:r>
    <w:r>
      <w:rPr>
        <w:b/>
        <w:bCs/>
        <w:color w:val="7B1538"/>
        <w:sz w:val="18"/>
        <w:szCs w:val="18"/>
      </w:rPr>
      <w:t xml:space="preserve">  |  Carisma Solutions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7B1538" w:sz="8"/>
            <w:right w:val="none" w:color="FFFFFF" w:sz="0"/>
          </w:tcBorders>
          <w:tcMar>
            <w:top w:type="dxa" w:w="40"/>
            <w:left w:type="dxa" w:w="0"/>
            <w:bottom w:type="dxa" w:w="80"/>
            <w:right w:type="dxa" w:w="0"/>
          </w:tcMar>
          <w:vAlign w:val="center"/>
        </w:tcPr>
        <w:p>
          <w:pPr>
            <w:jc w:val="left"/>
          </w:pPr>
          <w:r>
            <w:drawing>
              <wp:inline distT="0" distB="0" distL="0" distR="0">
                <wp:extent cx="14287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66700"/>
                        </a:xfrm>
                        <a:prstGeom prst="rect">
                          <a:avLst/>
                        </a:prstGeom>
                      </pic:spPr>
                    </pic:pic>
                  </a:graphicData>
                </a:graphic>
              </wp:inline>
            </w:drawing>
          </w:r>
        </w:p>
      </w:tc>
      <w:tc>
        <w:tcPr>
          <w:tcW w:type="dxa" w:w="4680"/>
          <w:tcBorders>
            <w:top w:val="none" w:color="FFFFFF" w:sz="0"/>
            <w:left w:val="none" w:color="FFFFFF" w:sz="0"/>
            <w:bottom w:val="single" w:color="7B1538" w:sz="8"/>
            <w:right w:val="none" w:color="FFFFFF" w:sz="0"/>
          </w:tcBorders>
          <w:tcMar>
            <w:top w:type="dxa" w:w="40"/>
            <w:left w:type="dxa" w:w="0"/>
            <w:bottom w:type="dxa" w:w="80"/>
            <w:right w:type="dxa" w:w="0"/>
          </w:tcMar>
          <w:vAlign w:val="center"/>
        </w:tcPr>
        <w:p>
          <w:pPr>
            <w:jc w:val="right"/>
          </w:pPr>
          <w:r>
            <w:rPr>
              <w:b/>
              <w:bCs/>
              <w:i/>
              <w:iCs/>
              <w:color w:val="7B1538"/>
              <w:sz w:val="18"/>
              <w:szCs w:val="18"/>
            </w:rPr>
            <w:t xml:space="preserve">Carisma Solutions Confidential</w:t>
          </w:r>
        </w:p>
      </w:tc>
    </w:tr>
  </w:tbl>
  <w:p>
    <w:pPr>
      <w:spacing w:after="0" w:before="0"/>
    </w:pPr>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7B1538"/>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7B1538"/>
      <w:sz w:val="28"/>
      <w:szCs w:val="28"/>
    </w:rPr>
  </w:style>
  <w:style w:type="paragraph" w:styleId="Heading3">
    <w:name w:val="Heading 3"/>
    <w:basedOn w:val="Normal"/>
    <w:next w:val="Normal"/>
    <w:qFormat/>
    <w:pPr>
      <w:spacing w:after="80" w:before="200"/>
      <w:outlineLvl w:val="2"/>
    </w:pPr>
    <w:rPr>
      <w:rFonts w:ascii="Arial" w:cs="Arial" w:eastAsia="Arial" w:hAnsi="Arial"/>
      <w:b/>
      <w:bCs/>
      <w:color w:val="1B2D5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7881ed4c63742301deaf1a77c1e6f28b94d061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81ed4c63742301deaf1a77c1e6f28b94d061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Averaging for Musicians: A Practical Companion Guide</dc:title>
  <dc:creator>Carisma Solutions: Senior Accounting Trainer</dc:creator>
  <dc:description>Application of Division 405 ITAA 1997 to performers, composers, and recording artists</dc:description>
  <cp:lastModifiedBy>Un-named</cp:lastModifiedBy>
  <cp:revision>1</cp:revision>
  <dcterms:created xsi:type="dcterms:W3CDTF">2026-05-19T03:05:09.450Z</dcterms:created>
  <dcterms:modified xsi:type="dcterms:W3CDTF">2026-05-19T03:05:09.468Z</dcterms:modified>
</cp:coreProperties>
</file>

<file path=docProps/custom.xml><?xml version="1.0" encoding="utf-8"?>
<Properties xmlns="http://schemas.openxmlformats.org/officeDocument/2006/custom-properties" xmlns:vt="http://schemas.openxmlformats.org/officeDocument/2006/docPropsVTypes"/>
</file>